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74451" w14:textId="77777777" w:rsidR="00353B6F" w:rsidRPr="00B91EC8" w:rsidRDefault="00CF313E" w:rsidP="00353B6F">
      <w:pPr>
        <w:pStyle w:val="Heading1"/>
        <w:spacing w:before="0"/>
        <w:rPr>
          <w:lang w:val="en-GB"/>
        </w:rPr>
      </w:pPr>
      <w:r w:rsidRPr="00B91EC8">
        <w:rPr>
          <w:lang w:val="en-GB"/>
        </w:rPr>
        <w:t>4</w:t>
      </w:r>
      <w:r w:rsidR="00B91EC8" w:rsidRPr="00B91EC8">
        <w:rPr>
          <w:lang w:val="en-GB"/>
        </w:rPr>
        <w:t>th</w:t>
      </w:r>
      <w:r w:rsidR="00353B6F" w:rsidRPr="00B91EC8">
        <w:rPr>
          <w:lang w:val="en-GB"/>
        </w:rPr>
        <w:t xml:space="preserve"> </w:t>
      </w:r>
      <w:r w:rsidR="00B91EC8" w:rsidRPr="00B91EC8">
        <w:rPr>
          <w:lang w:val="en-GB"/>
        </w:rPr>
        <w:t>EUROPEAN COLORECTAL CANCER DAYS</w:t>
      </w:r>
    </w:p>
    <w:p w14:paraId="6F44E364" w14:textId="77777777" w:rsidR="00B91EC8" w:rsidRPr="00B91EC8" w:rsidRDefault="00353B6F" w:rsidP="00353B6F">
      <w:pPr>
        <w:pStyle w:val="Heading1"/>
        <w:spacing w:before="0"/>
        <w:rPr>
          <w:sz w:val="24"/>
          <w:szCs w:val="24"/>
          <w:lang w:val="en-GB"/>
        </w:rPr>
      </w:pPr>
      <w:r w:rsidRPr="00B91EC8">
        <w:rPr>
          <w:sz w:val="24"/>
          <w:szCs w:val="24"/>
          <w:lang w:val="en-GB"/>
        </w:rPr>
        <w:t>2</w:t>
      </w:r>
      <w:r w:rsidR="00CF313E" w:rsidRPr="00B91EC8">
        <w:rPr>
          <w:sz w:val="24"/>
          <w:szCs w:val="24"/>
          <w:lang w:val="en-GB"/>
        </w:rPr>
        <w:t>9</w:t>
      </w:r>
      <w:r w:rsidRPr="00B91EC8">
        <w:rPr>
          <w:sz w:val="24"/>
          <w:szCs w:val="24"/>
          <w:lang w:val="en-GB"/>
        </w:rPr>
        <w:t>–</w:t>
      </w:r>
      <w:r w:rsidR="00CF313E" w:rsidRPr="00B91EC8">
        <w:rPr>
          <w:sz w:val="24"/>
          <w:szCs w:val="24"/>
          <w:lang w:val="en-GB"/>
        </w:rPr>
        <w:t>30</w:t>
      </w:r>
      <w:r w:rsidR="008F253F" w:rsidRPr="00B91EC8">
        <w:rPr>
          <w:sz w:val="24"/>
          <w:szCs w:val="24"/>
          <w:lang w:val="en-GB"/>
        </w:rPr>
        <w:t xml:space="preserve"> </w:t>
      </w:r>
      <w:r w:rsidR="00B91EC8" w:rsidRPr="00B91EC8">
        <w:rPr>
          <w:sz w:val="24"/>
          <w:szCs w:val="24"/>
          <w:lang w:val="en-GB"/>
        </w:rPr>
        <w:t>May</w:t>
      </w:r>
      <w:r w:rsidRPr="00B91EC8">
        <w:rPr>
          <w:sz w:val="24"/>
          <w:szCs w:val="24"/>
          <w:lang w:val="en-GB"/>
        </w:rPr>
        <w:t xml:space="preserve"> 201</w:t>
      </w:r>
      <w:r w:rsidR="00CF313E" w:rsidRPr="00B91EC8">
        <w:rPr>
          <w:sz w:val="24"/>
          <w:szCs w:val="24"/>
          <w:lang w:val="en-GB"/>
        </w:rPr>
        <w:t>5</w:t>
      </w:r>
      <w:r w:rsidRPr="00B91EC8">
        <w:rPr>
          <w:sz w:val="24"/>
          <w:szCs w:val="24"/>
          <w:lang w:val="en-GB"/>
        </w:rPr>
        <w:t>, Brno</w:t>
      </w:r>
      <w:r w:rsidR="00B91EC8" w:rsidRPr="00B91EC8">
        <w:rPr>
          <w:sz w:val="24"/>
          <w:szCs w:val="24"/>
          <w:lang w:val="en-GB"/>
        </w:rPr>
        <w:t xml:space="preserve"> (Czech Republic)</w:t>
      </w:r>
      <w:r w:rsidR="008F253F" w:rsidRPr="00B91EC8">
        <w:rPr>
          <w:sz w:val="24"/>
          <w:szCs w:val="24"/>
          <w:lang w:val="en-GB"/>
        </w:rPr>
        <w:t xml:space="preserve"> –</w:t>
      </w:r>
      <w:r w:rsidR="007B5820" w:rsidRPr="00B91EC8">
        <w:rPr>
          <w:sz w:val="24"/>
          <w:szCs w:val="24"/>
          <w:lang w:val="en-GB"/>
        </w:rPr>
        <w:t xml:space="preserve"> </w:t>
      </w:r>
      <w:hyperlink r:id="rId9" w:history="1">
        <w:r w:rsidRPr="00B91EC8">
          <w:rPr>
            <w:rStyle w:val="Hyperlink"/>
            <w:sz w:val="24"/>
            <w:szCs w:val="24"/>
            <w:lang w:val="en-GB"/>
          </w:rPr>
          <w:t>www.crcprevention.eu</w:t>
        </w:r>
      </w:hyperlink>
      <w:r w:rsidRPr="00B91EC8">
        <w:rPr>
          <w:sz w:val="24"/>
          <w:szCs w:val="24"/>
          <w:lang w:val="en-GB"/>
        </w:rPr>
        <w:t xml:space="preserve">: </w:t>
      </w:r>
      <w:r w:rsidR="00B91EC8" w:rsidRPr="00B91EC8">
        <w:rPr>
          <w:sz w:val="24"/>
          <w:szCs w:val="24"/>
          <w:lang w:val="en-GB"/>
        </w:rPr>
        <w:t>conference focused on issues related to colorectal cancer prevention and treatment in the EU and in the Czech Republic</w:t>
      </w:r>
    </w:p>
    <w:p w14:paraId="40D458DB" w14:textId="77777777" w:rsidR="0026595F" w:rsidRPr="00B91EC8" w:rsidRDefault="00B91EC8" w:rsidP="00B91EC8">
      <w:pPr>
        <w:spacing w:after="0" w:line="240" w:lineRule="auto"/>
        <w:rPr>
          <w:lang w:val="en-GB"/>
        </w:rPr>
      </w:pPr>
      <w:r w:rsidRPr="00B91EC8">
        <w:rPr>
          <w:lang w:val="en-GB"/>
        </w:rPr>
        <w:t>The conference is organised and the report has been prepared by: Pavel Poc, Member of the European Parliament; Institute of Biostatistics and Analyses, Masaryk University, Brno (</w:t>
      </w:r>
      <w:hyperlink r:id="rId10" w:history="1">
        <w:r w:rsidRPr="00B91EC8">
          <w:rPr>
            <w:rStyle w:val="Hyperlink"/>
            <w:lang w:val="en-GB"/>
          </w:rPr>
          <w:t>www.iba.muni.cz</w:t>
        </w:r>
      </w:hyperlink>
      <w:r w:rsidRPr="00B91EC8">
        <w:rPr>
          <w:lang w:val="en-GB"/>
        </w:rPr>
        <w:t>); Institute of Health Information and Statistics of the Czech Republic (</w:t>
      </w:r>
      <w:hyperlink r:id="rId11" w:history="1">
        <w:r w:rsidRPr="00B91EC8">
          <w:rPr>
            <w:rStyle w:val="Hyperlink"/>
            <w:lang w:val="en-GB"/>
          </w:rPr>
          <w:t>www.uzis.cz</w:t>
        </w:r>
      </w:hyperlink>
      <w:r w:rsidRPr="00B91EC8">
        <w:rPr>
          <w:lang w:val="en-GB"/>
        </w:rPr>
        <w:t>).</w:t>
      </w:r>
    </w:p>
    <w:p w14:paraId="2D61A832" w14:textId="77777777" w:rsidR="00442571" w:rsidRPr="00B91EC8" w:rsidRDefault="00442571" w:rsidP="00442571">
      <w:pPr>
        <w:pStyle w:val="Heading1"/>
        <w:spacing w:before="0" w:line="240" w:lineRule="auto"/>
        <w:rPr>
          <w:lang w:val="en-GB"/>
        </w:rPr>
      </w:pPr>
    </w:p>
    <w:p w14:paraId="167E4974" w14:textId="77777777" w:rsidR="000A4401" w:rsidRPr="00B91EC8" w:rsidRDefault="00353B6F" w:rsidP="00442571">
      <w:pPr>
        <w:pStyle w:val="Heading1"/>
        <w:spacing w:before="0" w:line="240" w:lineRule="auto"/>
        <w:rPr>
          <w:lang w:val="en-GB"/>
        </w:rPr>
      </w:pPr>
      <w:r w:rsidRPr="00B91EC8">
        <w:rPr>
          <w:lang w:val="en-GB"/>
        </w:rPr>
        <w:t>S</w:t>
      </w:r>
      <w:r w:rsidR="00B91EC8" w:rsidRPr="00B91EC8">
        <w:rPr>
          <w:lang w:val="en-GB"/>
        </w:rPr>
        <w:t>ummary information on colorectal cancer (CRC) in the Czech Republic</w:t>
      </w:r>
      <w:r w:rsidR="00522637" w:rsidRPr="00B91EC8">
        <w:rPr>
          <w:lang w:val="en-GB"/>
        </w:rPr>
        <w:t xml:space="preserve"> </w:t>
      </w:r>
    </w:p>
    <w:p w14:paraId="05D49EF7" w14:textId="2B4BB59B" w:rsidR="000A4401" w:rsidRDefault="009F12F4" w:rsidP="00353B6F">
      <w:pPr>
        <w:pStyle w:val="ListParagraph"/>
        <w:numPr>
          <w:ilvl w:val="0"/>
          <w:numId w:val="3"/>
        </w:numPr>
        <w:rPr>
          <w:lang w:val="en-GB"/>
        </w:rPr>
      </w:pPr>
      <w:r w:rsidRPr="009F12F4">
        <w:rPr>
          <w:b/>
          <w:lang w:val="en-GB"/>
        </w:rPr>
        <w:t>High number of patients.</w:t>
      </w:r>
      <w:r w:rsidRPr="009F12F4">
        <w:rPr>
          <w:lang w:val="en-GB"/>
        </w:rPr>
        <w:t xml:space="preserve"> The Czech Republic still has one of the highest rates of colorectal cancer worldwide. Each year almost 8,000 patients are diagnose</w:t>
      </w:r>
      <w:r>
        <w:rPr>
          <w:lang w:val="en-GB"/>
        </w:rPr>
        <w:t>d with colorectal cancer in this country</w:t>
      </w:r>
      <w:r w:rsidRPr="009F12F4">
        <w:rPr>
          <w:lang w:val="en-GB"/>
        </w:rPr>
        <w:t>, and the</w:t>
      </w:r>
      <w:r w:rsidR="003248C7">
        <w:rPr>
          <w:lang w:val="en-GB"/>
        </w:rPr>
        <w:t>re are about</w:t>
      </w:r>
      <w:r w:rsidRPr="009F12F4">
        <w:rPr>
          <w:lang w:val="en-GB"/>
        </w:rPr>
        <w:t xml:space="preserve"> </w:t>
      </w:r>
      <w:r w:rsidR="003248C7">
        <w:rPr>
          <w:lang w:val="en-GB"/>
        </w:rPr>
        <w:t>4,000</w:t>
      </w:r>
      <w:r w:rsidRPr="009F12F4">
        <w:rPr>
          <w:lang w:val="en-GB"/>
        </w:rPr>
        <w:t xml:space="preserve"> CRC deaths.</w:t>
      </w:r>
      <w:r w:rsidR="003248C7">
        <w:rPr>
          <w:lang w:val="en-GB"/>
        </w:rPr>
        <w:t xml:space="preserve"> The good news is that the incidence rate</w:t>
      </w:r>
      <w:r w:rsidRPr="009F12F4">
        <w:rPr>
          <w:lang w:val="en-GB"/>
        </w:rPr>
        <w:t xml:space="preserve"> (i.e., number of new CRC cases) </w:t>
      </w:r>
      <w:r w:rsidR="003248C7">
        <w:rPr>
          <w:lang w:val="en-GB"/>
        </w:rPr>
        <w:t>has stabilised and that the</w:t>
      </w:r>
      <w:r w:rsidRPr="009F12F4">
        <w:rPr>
          <w:lang w:val="en-GB"/>
        </w:rPr>
        <w:t xml:space="preserve"> mortality</w:t>
      </w:r>
      <w:r w:rsidR="003248C7">
        <w:rPr>
          <w:lang w:val="en-GB"/>
        </w:rPr>
        <w:t xml:space="preserve"> rate</w:t>
      </w:r>
      <w:r w:rsidRPr="009F12F4">
        <w:rPr>
          <w:lang w:val="en-GB"/>
        </w:rPr>
        <w:t xml:space="preserve"> (i.e., number of CRC deaths)</w:t>
      </w:r>
      <w:r w:rsidR="003248C7">
        <w:rPr>
          <w:lang w:val="en-GB"/>
        </w:rPr>
        <w:t xml:space="preserve"> has decreased</w:t>
      </w:r>
      <w:r w:rsidRPr="009F12F4">
        <w:rPr>
          <w:lang w:val="en-GB"/>
        </w:rPr>
        <w:t>. These trends, however,</w:t>
      </w:r>
      <w:r>
        <w:rPr>
          <w:lang w:val="en-GB"/>
        </w:rPr>
        <w:t xml:space="preserve"> have le</w:t>
      </w:r>
      <w:r w:rsidRPr="009F12F4">
        <w:rPr>
          <w:lang w:val="en-GB"/>
        </w:rPr>
        <w:t xml:space="preserve">d to an increase in the numbers of treated and cured patients, who require further care. Nowadays, there are more than 60,000 citizens </w:t>
      </w:r>
      <w:r w:rsidR="00FD4F06">
        <w:rPr>
          <w:lang w:val="en-GB"/>
        </w:rPr>
        <w:t>living in</w:t>
      </w:r>
      <w:r w:rsidRPr="009F12F4">
        <w:rPr>
          <w:lang w:val="en-GB"/>
        </w:rPr>
        <w:t xml:space="preserve"> the Czech Republic who have had colorectal cancer in their medical history.</w:t>
      </w:r>
    </w:p>
    <w:p w14:paraId="7502548F" w14:textId="1E942AFB" w:rsidR="00B668C1" w:rsidRDefault="00B668C1" w:rsidP="00353B6F">
      <w:pPr>
        <w:pStyle w:val="ListParagraph"/>
        <w:numPr>
          <w:ilvl w:val="0"/>
          <w:numId w:val="3"/>
        </w:numPr>
        <w:rPr>
          <w:lang w:val="en-GB"/>
        </w:rPr>
      </w:pPr>
      <w:r w:rsidRPr="00B668C1">
        <w:rPr>
          <w:b/>
          <w:lang w:val="en-GB"/>
        </w:rPr>
        <w:t>Cancers diagnosed too late.</w:t>
      </w:r>
      <w:r w:rsidRPr="00B668C1">
        <w:rPr>
          <w:lang w:val="en-GB"/>
        </w:rPr>
        <w:t xml:space="preserve"> The situation is aggravated by the fact that more than 50% of pat</w:t>
      </w:r>
      <w:r>
        <w:rPr>
          <w:lang w:val="en-GB"/>
        </w:rPr>
        <w:t xml:space="preserve">ients are still diagnosed at </w:t>
      </w:r>
      <w:r w:rsidRPr="00B668C1">
        <w:rPr>
          <w:lang w:val="en-GB"/>
        </w:rPr>
        <w:t>advanced stage</w:t>
      </w:r>
      <w:r>
        <w:rPr>
          <w:lang w:val="en-GB"/>
        </w:rPr>
        <w:t>s of the disease, which implies lower</w:t>
      </w:r>
      <w:r w:rsidRPr="00B668C1">
        <w:rPr>
          <w:lang w:val="en-GB"/>
        </w:rPr>
        <w:t xml:space="preserve"> chance</w:t>
      </w:r>
      <w:r>
        <w:rPr>
          <w:lang w:val="en-GB"/>
        </w:rPr>
        <w:t>s</w:t>
      </w:r>
      <w:r w:rsidRPr="00B668C1">
        <w:rPr>
          <w:lang w:val="en-GB"/>
        </w:rPr>
        <w:t xml:space="preserve"> of </w:t>
      </w:r>
      <w:r>
        <w:rPr>
          <w:lang w:val="en-GB"/>
        </w:rPr>
        <w:t xml:space="preserve">a </w:t>
      </w:r>
      <w:r w:rsidRPr="00B668C1">
        <w:rPr>
          <w:lang w:val="en-GB"/>
        </w:rPr>
        <w:t>complete cure. Such patients also require a</w:t>
      </w:r>
      <w:r>
        <w:rPr>
          <w:lang w:val="en-GB"/>
        </w:rPr>
        <w:t xml:space="preserve"> comprehensive care, including the</w:t>
      </w:r>
      <w:r w:rsidRPr="00B668C1">
        <w:rPr>
          <w:lang w:val="en-GB"/>
        </w:rPr>
        <w:t xml:space="preserve"> specialised care in Comprehensive Cancer Centres all across the Czech Republic.</w:t>
      </w:r>
    </w:p>
    <w:p w14:paraId="3216D2E0" w14:textId="645A1E43" w:rsidR="00B668C1" w:rsidRDefault="00B668C1" w:rsidP="00353B6F">
      <w:pPr>
        <w:pStyle w:val="ListParagraph"/>
        <w:numPr>
          <w:ilvl w:val="0"/>
          <w:numId w:val="3"/>
        </w:numPr>
        <w:rPr>
          <w:lang w:val="en-GB"/>
        </w:rPr>
      </w:pPr>
      <w:r w:rsidRPr="00B668C1">
        <w:rPr>
          <w:b/>
          <w:lang w:val="en-GB"/>
        </w:rPr>
        <w:t>Existence of a screening programme</w:t>
      </w:r>
      <w:r w:rsidRPr="00B668C1">
        <w:rPr>
          <w:lang w:val="en-GB"/>
        </w:rPr>
        <w:t xml:space="preserve"> (</w:t>
      </w:r>
      <w:hyperlink r:id="rId12" w:history="1">
        <w:r w:rsidRPr="00B668C1">
          <w:rPr>
            <w:rStyle w:val="Hyperlink"/>
            <w:lang w:val="en-GB"/>
          </w:rPr>
          <w:t>www.kolorektum.cz</w:t>
        </w:r>
      </w:hyperlink>
      <w:r w:rsidRPr="00B668C1">
        <w:rPr>
          <w:lang w:val="en-GB"/>
        </w:rPr>
        <w:t>)</w:t>
      </w:r>
      <w:r w:rsidRPr="007E136D">
        <w:rPr>
          <w:lang w:val="en-GB"/>
        </w:rPr>
        <w:t>.</w:t>
      </w:r>
      <w:r w:rsidRPr="00B668C1">
        <w:rPr>
          <w:lang w:val="en-GB"/>
        </w:rPr>
        <w:t xml:space="preserve"> Every Czech citizen aged above 50 is eligible for an examination by faecal occult blood test (FOBT), and those aged above 55 can also undergo primary screening colonoscopy. Citizens enter the screening programme by visiting their GPs (or gynaecologists, for women). The screening programme is reimbursed from the public health insurance funds, i.e. the citizens do not pay any additional fees.</w:t>
      </w:r>
    </w:p>
    <w:p w14:paraId="0E4183EF" w14:textId="620A6FC1" w:rsidR="00BA557B" w:rsidRPr="009F12F4" w:rsidRDefault="00300FBD" w:rsidP="00353B6F">
      <w:pPr>
        <w:pStyle w:val="ListParagraph"/>
        <w:numPr>
          <w:ilvl w:val="0"/>
          <w:numId w:val="3"/>
        </w:numPr>
        <w:rPr>
          <w:lang w:val="en-GB"/>
        </w:rPr>
      </w:pPr>
      <w:r>
        <w:rPr>
          <w:b/>
          <w:lang w:val="en-GB"/>
        </w:rPr>
        <w:t>N</w:t>
      </w:r>
      <w:r w:rsidR="00261434" w:rsidRPr="00261434">
        <w:rPr>
          <w:b/>
          <w:lang w:val="en-GB"/>
        </w:rPr>
        <w:t xml:space="preserve">ew project of personalised invitations of citizens to screening </w:t>
      </w:r>
      <w:r>
        <w:rPr>
          <w:b/>
          <w:lang w:val="en-GB"/>
        </w:rPr>
        <w:t>aiming</w:t>
      </w:r>
      <w:r w:rsidR="00261434" w:rsidRPr="00261434">
        <w:rPr>
          <w:b/>
          <w:lang w:val="en-GB"/>
        </w:rPr>
        <w:t xml:space="preserve"> to increase the participation rate</w:t>
      </w:r>
      <w:r w:rsidR="00BA557B" w:rsidRPr="00BA557B">
        <w:rPr>
          <w:b/>
          <w:lang w:val="en-GB"/>
        </w:rPr>
        <w:t>.</w:t>
      </w:r>
      <w:r w:rsidR="00BA557B" w:rsidRPr="00BA557B">
        <w:rPr>
          <w:lang w:val="en-GB"/>
        </w:rPr>
        <w:t xml:space="preserve"> Although the participation rate in the Czech screening programme has slightly increased, it is still too low (27% in 2013). A project of personalised invitations of Czech citizens to cancer screening programmes, supported by the EU funds, was launched in 2014. Invitations are sent to citizens who have not participated in screening yet. An appeal needs to be made particularly to these citizens, reminding them to consider the invitation as an opportunity to prevent the disease.</w:t>
      </w:r>
    </w:p>
    <w:p w14:paraId="23A3DC73" w14:textId="636DA3E0" w:rsidR="00AC6643" w:rsidRDefault="00DF5844" w:rsidP="00AC6643">
      <w:pPr>
        <w:pStyle w:val="ListParagraph"/>
        <w:numPr>
          <w:ilvl w:val="0"/>
          <w:numId w:val="3"/>
        </w:numPr>
        <w:rPr>
          <w:lang w:val="en-GB"/>
        </w:rPr>
      </w:pPr>
      <w:r w:rsidRPr="00DF5844">
        <w:rPr>
          <w:b/>
          <w:lang w:val="en-GB"/>
        </w:rPr>
        <w:t xml:space="preserve">Challenge for the Czech Republic: availability of care. </w:t>
      </w:r>
      <w:r w:rsidRPr="00DF5844">
        <w:rPr>
          <w:lang w:val="en-GB"/>
        </w:rPr>
        <w:t xml:space="preserve">Management of CRC patients has been far from optimal in the Czech Republic: large differences among regions have been observed, including differences in the availability of care. There are alarming differences in the screening coverage: individual regions differ by up to 20%. Relatively poor centralisation of surgical treatment has been well documented, involving a limited availability of timely surgery for liver metastases from colorectal cancer, for example. Similarly, less than a half of patients have access to indicated targeted therapies in Comprehensive Cancer Centres. An inadequate access of Czech patients to innovative therapies </w:t>
      </w:r>
      <w:r w:rsidR="003248C7">
        <w:rPr>
          <w:lang w:val="en-GB"/>
        </w:rPr>
        <w:t>was</w:t>
      </w:r>
      <w:r w:rsidRPr="00DF5844">
        <w:rPr>
          <w:lang w:val="en-GB"/>
        </w:rPr>
        <w:t xml:space="preserve"> pointed out in the OECD Cancer Care report from 2013.</w:t>
      </w:r>
    </w:p>
    <w:p w14:paraId="54C070B8" w14:textId="17AE6393" w:rsidR="00DC3FC9" w:rsidRPr="00B91EC8" w:rsidRDefault="00DC3FC9" w:rsidP="00DC3FC9">
      <w:pPr>
        <w:pStyle w:val="ListParagraph"/>
        <w:numPr>
          <w:ilvl w:val="0"/>
          <w:numId w:val="3"/>
        </w:numPr>
        <w:rPr>
          <w:lang w:val="en-GB"/>
        </w:rPr>
      </w:pPr>
      <w:r w:rsidRPr="00DC3FC9">
        <w:rPr>
          <w:b/>
          <w:lang w:val="en-GB"/>
        </w:rPr>
        <w:t>Challenge for the Czech Republic:</w:t>
      </w:r>
      <w:r w:rsidRPr="00DC3FC9">
        <w:rPr>
          <w:lang w:val="en-GB"/>
        </w:rPr>
        <w:t xml:space="preserve"> </w:t>
      </w:r>
      <w:r w:rsidRPr="003248C7">
        <w:rPr>
          <w:b/>
          <w:lang w:val="en-GB"/>
        </w:rPr>
        <w:t>strengthening prevention strategies in general.</w:t>
      </w:r>
      <w:r w:rsidRPr="00DC3FC9">
        <w:rPr>
          <w:lang w:val="en-GB"/>
        </w:rPr>
        <w:t xml:space="preserve"> The Czech Republic has much space for improvement in measures aimed at strengthening cancer prevention in general. According to an OECD survey (Health at a Glance, Europe 2014), the </w:t>
      </w:r>
      <w:r>
        <w:rPr>
          <w:lang w:val="en-GB"/>
        </w:rPr>
        <w:lastRenderedPageBreak/>
        <w:t xml:space="preserve">Czech population has </w:t>
      </w:r>
      <w:r w:rsidRPr="00DC3FC9">
        <w:rPr>
          <w:lang w:val="en-GB"/>
        </w:rPr>
        <w:t>much higher alcohol consumption, obesity rates, and a very high consumption of tobacco products when compared to other developed countries. Measures adopted by the Czech authorities, for example anti-smoking measures, have been still inadequate.</w:t>
      </w:r>
    </w:p>
    <w:p w14:paraId="1A000AA3" w14:textId="24B86CDA" w:rsidR="00AC6643" w:rsidRPr="00DC3FC9" w:rsidRDefault="00DC3FC9" w:rsidP="002B298D">
      <w:pPr>
        <w:pStyle w:val="ListParagraph"/>
        <w:numPr>
          <w:ilvl w:val="0"/>
          <w:numId w:val="3"/>
        </w:numPr>
        <w:rPr>
          <w:lang w:val="en-GB"/>
        </w:rPr>
      </w:pPr>
      <w:r>
        <w:rPr>
          <w:b/>
          <w:lang w:val="en-GB"/>
        </w:rPr>
        <w:t>Good news: longer survival of cancer patients.</w:t>
      </w:r>
      <w:r>
        <w:rPr>
          <w:lang w:val="en-GB"/>
        </w:rPr>
        <w:t xml:space="preserve"> </w:t>
      </w:r>
      <w:r w:rsidR="002F4076">
        <w:rPr>
          <w:lang w:val="en-GB"/>
        </w:rPr>
        <w:t>In terms of</w:t>
      </w:r>
      <w:r w:rsidR="00D30ECF">
        <w:rPr>
          <w:lang w:val="en-GB"/>
        </w:rPr>
        <w:t xml:space="preserve"> cancer care results, d</w:t>
      </w:r>
      <w:r w:rsidR="000F24CD">
        <w:rPr>
          <w:lang w:val="en-GB"/>
        </w:rPr>
        <w:t>ata from national and international studies have shown</w:t>
      </w:r>
      <w:r w:rsidR="00D30ECF">
        <w:rPr>
          <w:lang w:val="en-GB"/>
        </w:rPr>
        <w:t xml:space="preserve"> that</w:t>
      </w:r>
      <w:r>
        <w:rPr>
          <w:lang w:val="en-GB"/>
        </w:rPr>
        <w:t xml:space="preserve"> the Czech Republic has been closing the gap on the European average, and is standing out above the average of East European </w:t>
      </w:r>
      <w:r w:rsidR="00797630">
        <w:rPr>
          <w:lang w:val="en-GB"/>
        </w:rPr>
        <w:t>countries</w:t>
      </w:r>
      <w:r>
        <w:rPr>
          <w:lang w:val="en-GB"/>
        </w:rPr>
        <w:t>. The same applies for colorectal cancer, too.</w:t>
      </w:r>
    </w:p>
    <w:p w14:paraId="0EA4CBE9" w14:textId="4E334F38" w:rsidR="009E3AF8" w:rsidRPr="00B91EC8" w:rsidRDefault="00715764" w:rsidP="00C15ECC">
      <w:pPr>
        <w:pStyle w:val="Heading2"/>
        <w:rPr>
          <w:lang w:val="en-GB"/>
        </w:rPr>
      </w:pPr>
      <w:r w:rsidRPr="00715764">
        <w:rPr>
          <w:lang w:val="en-GB"/>
        </w:rPr>
        <w:t>Colorectal cancer – one of the most common cancers worldwide and in Europe</w:t>
      </w:r>
    </w:p>
    <w:p w14:paraId="632F6D91" w14:textId="4E3102F3" w:rsidR="00711622" w:rsidRPr="00B91EC8" w:rsidRDefault="00715764">
      <w:pPr>
        <w:rPr>
          <w:lang w:val="en-GB"/>
        </w:rPr>
      </w:pPr>
      <w:r w:rsidRPr="00715764">
        <w:rPr>
          <w:lang w:val="en-GB"/>
        </w:rPr>
        <w:t xml:space="preserve">Colorectal cancer (CRC) is one of the most common cancers worldwide, and is among the leading causes of cancer deaths in developed countries. It is the third most common cancer worldwide (excluding non-melanoma skin cancer), and actually the most common cancer in Europe (excluding non-melanoma skin cancer). According to estimates by the GLOBOCAN study, more than 1.3 million new cases of CRC were diagnosed worldwide in 2012, and almost 700,000 people died of the disease. In the same year, almost 450,000 CRC patients were diagnosed in Europe, and there were almost 215,000 CRC deaths. </w:t>
      </w:r>
      <w:r w:rsidRPr="00715764">
        <w:rPr>
          <w:b/>
          <w:u w:val="single"/>
          <w:lang w:val="en-GB"/>
        </w:rPr>
        <w:t>Table 1</w:t>
      </w:r>
      <w:r w:rsidRPr="00715764">
        <w:rPr>
          <w:lang w:val="en-GB"/>
        </w:rPr>
        <w:t xml:space="preserve"> shows data about CRC incidence and mortality</w:t>
      </w:r>
      <w:r>
        <w:rPr>
          <w:lang w:val="en-GB"/>
        </w:rPr>
        <w:t xml:space="preserve"> in more detail</w:t>
      </w:r>
      <w:r w:rsidRPr="00715764">
        <w:rPr>
          <w:lang w:val="en-GB"/>
        </w:rPr>
        <w:t>.</w:t>
      </w:r>
    </w:p>
    <w:p w14:paraId="2D8B338C" w14:textId="5858040B" w:rsidR="00763509" w:rsidRPr="00B91EC8" w:rsidRDefault="00F956C6" w:rsidP="00604E39">
      <w:pPr>
        <w:spacing w:after="0"/>
        <w:rPr>
          <w:i/>
          <w:lang w:val="en-GB"/>
        </w:rPr>
      </w:pPr>
      <w:r>
        <w:rPr>
          <w:i/>
          <w:lang w:val="en-GB"/>
        </w:rPr>
        <w:t>Table</w:t>
      </w:r>
      <w:r w:rsidR="00763509" w:rsidRPr="00B91EC8">
        <w:rPr>
          <w:i/>
          <w:lang w:val="en-GB"/>
        </w:rPr>
        <w:t xml:space="preserve"> 1: </w:t>
      </w:r>
      <w:r w:rsidRPr="00F956C6">
        <w:rPr>
          <w:lang w:val="en-GB"/>
        </w:rPr>
        <w:t>CRC epidemiology</w:t>
      </w:r>
      <w:r w:rsidR="00763509" w:rsidRPr="00F956C6">
        <w:rPr>
          <w:lang w:val="en-GB"/>
        </w:rPr>
        <w:t xml:space="preserve"> </w:t>
      </w:r>
      <w:r w:rsidRPr="00F956C6">
        <w:rPr>
          <w:lang w:val="en-GB"/>
        </w:rPr>
        <w:t>worldwide and in Europe</w:t>
      </w:r>
      <w:r w:rsidR="00993FD8" w:rsidRPr="00F956C6">
        <w:rPr>
          <w:lang w:val="en-GB"/>
        </w:rPr>
        <w:t>.</w:t>
      </w:r>
      <w:r w:rsidR="007824EF" w:rsidRPr="00B91EC8">
        <w:rPr>
          <w:i/>
          <w:lang w:val="en-GB"/>
        </w:rPr>
        <w:t xml:space="preserve"> </w:t>
      </w:r>
      <w:r>
        <w:rPr>
          <w:i/>
          <w:lang w:val="en-GB"/>
        </w:rPr>
        <w:t>Source of data</w:t>
      </w:r>
      <w:r w:rsidR="00993FD8" w:rsidRPr="00B91EC8">
        <w:rPr>
          <w:i/>
          <w:lang w:val="en-GB"/>
        </w:rPr>
        <w:t xml:space="preserve">: </w:t>
      </w:r>
      <w:r w:rsidR="00993FD8" w:rsidRPr="00F956C6">
        <w:rPr>
          <w:lang w:val="en-GB"/>
        </w:rPr>
        <w:t>Ferlay et al., 2013</w:t>
      </w:r>
    </w:p>
    <w:tbl>
      <w:tblPr>
        <w:tblStyle w:val="TableGrid"/>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
        <w:gridCol w:w="3257"/>
        <w:gridCol w:w="1276"/>
        <w:gridCol w:w="1134"/>
        <w:gridCol w:w="1417"/>
      </w:tblGrid>
      <w:tr w:rsidR="00763509" w:rsidRPr="00B91EC8" w14:paraId="18CD051F" w14:textId="77777777" w:rsidTr="00442571">
        <w:tc>
          <w:tcPr>
            <w:tcW w:w="962" w:type="dxa"/>
            <w:tcBorders>
              <w:top w:val="single" w:sz="4" w:space="0" w:color="auto"/>
              <w:bottom w:val="single" w:sz="4" w:space="0" w:color="auto"/>
            </w:tcBorders>
          </w:tcPr>
          <w:p w14:paraId="5045582D" w14:textId="77777777" w:rsidR="00763509" w:rsidRPr="00B91EC8" w:rsidRDefault="00763509" w:rsidP="00604E39">
            <w:pPr>
              <w:rPr>
                <w:sz w:val="20"/>
                <w:lang w:val="en-GB"/>
              </w:rPr>
            </w:pPr>
          </w:p>
        </w:tc>
        <w:tc>
          <w:tcPr>
            <w:tcW w:w="3257" w:type="dxa"/>
            <w:tcBorders>
              <w:top w:val="single" w:sz="4" w:space="0" w:color="auto"/>
              <w:bottom w:val="single" w:sz="4" w:space="0" w:color="auto"/>
            </w:tcBorders>
          </w:tcPr>
          <w:p w14:paraId="0F5499C8" w14:textId="77777777" w:rsidR="00763509" w:rsidRPr="00B91EC8" w:rsidRDefault="00763509" w:rsidP="00604E39">
            <w:pPr>
              <w:rPr>
                <w:sz w:val="20"/>
                <w:lang w:val="en-GB"/>
              </w:rPr>
            </w:pPr>
          </w:p>
        </w:tc>
        <w:tc>
          <w:tcPr>
            <w:tcW w:w="1276" w:type="dxa"/>
            <w:tcBorders>
              <w:top w:val="single" w:sz="4" w:space="0" w:color="auto"/>
              <w:bottom w:val="single" w:sz="4" w:space="0" w:color="auto"/>
            </w:tcBorders>
          </w:tcPr>
          <w:p w14:paraId="3B9C428E" w14:textId="56925619" w:rsidR="00763509" w:rsidRPr="00B91EC8" w:rsidRDefault="00213B36" w:rsidP="00442571">
            <w:pPr>
              <w:rPr>
                <w:b/>
                <w:sz w:val="20"/>
                <w:lang w:val="en-GB"/>
              </w:rPr>
            </w:pPr>
            <w:r>
              <w:rPr>
                <w:b/>
                <w:sz w:val="20"/>
                <w:lang w:val="en-GB"/>
              </w:rPr>
              <w:t>Men</w:t>
            </w:r>
          </w:p>
        </w:tc>
        <w:tc>
          <w:tcPr>
            <w:tcW w:w="1134" w:type="dxa"/>
            <w:tcBorders>
              <w:top w:val="single" w:sz="4" w:space="0" w:color="auto"/>
              <w:bottom w:val="single" w:sz="4" w:space="0" w:color="auto"/>
            </w:tcBorders>
          </w:tcPr>
          <w:p w14:paraId="74B22490" w14:textId="16BFE427" w:rsidR="00763509" w:rsidRPr="00B91EC8" w:rsidRDefault="00213B36" w:rsidP="00442571">
            <w:pPr>
              <w:rPr>
                <w:b/>
                <w:sz w:val="20"/>
                <w:lang w:val="en-GB"/>
              </w:rPr>
            </w:pPr>
            <w:r>
              <w:rPr>
                <w:b/>
                <w:sz w:val="20"/>
                <w:lang w:val="en-GB"/>
              </w:rPr>
              <w:t>Women</w:t>
            </w:r>
          </w:p>
        </w:tc>
        <w:tc>
          <w:tcPr>
            <w:tcW w:w="1417" w:type="dxa"/>
            <w:tcBorders>
              <w:top w:val="single" w:sz="4" w:space="0" w:color="auto"/>
              <w:bottom w:val="single" w:sz="4" w:space="0" w:color="auto"/>
            </w:tcBorders>
          </w:tcPr>
          <w:p w14:paraId="7131A67D" w14:textId="59A6BEE4" w:rsidR="00763509" w:rsidRPr="00B91EC8" w:rsidRDefault="00213B36" w:rsidP="00442571">
            <w:pPr>
              <w:rPr>
                <w:b/>
                <w:sz w:val="20"/>
                <w:lang w:val="en-GB"/>
              </w:rPr>
            </w:pPr>
            <w:r>
              <w:rPr>
                <w:b/>
                <w:sz w:val="20"/>
                <w:lang w:val="en-GB"/>
              </w:rPr>
              <w:t>Both</w:t>
            </w:r>
          </w:p>
        </w:tc>
      </w:tr>
      <w:tr w:rsidR="00A537E3" w:rsidRPr="00B91EC8" w14:paraId="39C2C238" w14:textId="77777777" w:rsidTr="00442571">
        <w:tc>
          <w:tcPr>
            <w:tcW w:w="962" w:type="dxa"/>
            <w:vMerge w:val="restart"/>
            <w:tcBorders>
              <w:top w:val="single" w:sz="4" w:space="0" w:color="auto"/>
            </w:tcBorders>
          </w:tcPr>
          <w:p w14:paraId="0C4A258C" w14:textId="6A85D0C9" w:rsidR="00A537E3" w:rsidRPr="00B91EC8" w:rsidRDefault="00213B36" w:rsidP="00B668C1">
            <w:pPr>
              <w:rPr>
                <w:b/>
                <w:sz w:val="20"/>
                <w:lang w:val="en-GB"/>
              </w:rPr>
            </w:pPr>
            <w:r>
              <w:rPr>
                <w:b/>
                <w:sz w:val="20"/>
                <w:lang w:val="en-GB"/>
              </w:rPr>
              <w:t>World</w:t>
            </w:r>
          </w:p>
        </w:tc>
        <w:tc>
          <w:tcPr>
            <w:tcW w:w="3257" w:type="dxa"/>
            <w:tcBorders>
              <w:top w:val="single" w:sz="4" w:space="0" w:color="auto"/>
            </w:tcBorders>
          </w:tcPr>
          <w:p w14:paraId="138F1094" w14:textId="6FFEB2FE" w:rsidR="00A537E3" w:rsidRPr="00B91EC8" w:rsidRDefault="00A537E3" w:rsidP="00213B36">
            <w:pPr>
              <w:rPr>
                <w:sz w:val="20"/>
                <w:lang w:val="en-GB"/>
              </w:rPr>
            </w:pPr>
            <w:r w:rsidRPr="00B91EC8">
              <w:rPr>
                <w:sz w:val="20"/>
                <w:lang w:val="en-GB"/>
              </w:rPr>
              <w:t xml:space="preserve">Incidence – </w:t>
            </w:r>
            <w:r w:rsidR="00213B36">
              <w:rPr>
                <w:sz w:val="20"/>
                <w:lang w:val="en-GB"/>
              </w:rPr>
              <w:t>number of new cases</w:t>
            </w:r>
          </w:p>
        </w:tc>
        <w:tc>
          <w:tcPr>
            <w:tcW w:w="1276" w:type="dxa"/>
            <w:tcBorders>
              <w:top w:val="single" w:sz="4" w:space="0" w:color="auto"/>
            </w:tcBorders>
            <w:vAlign w:val="center"/>
          </w:tcPr>
          <w:p w14:paraId="727BB163" w14:textId="38069CA5" w:rsidR="00A537E3" w:rsidRPr="00B91EC8" w:rsidRDefault="00213B36" w:rsidP="00442571">
            <w:pPr>
              <w:rPr>
                <w:rFonts w:eastAsia="Calibri" w:cs="Times New Roman"/>
                <w:sz w:val="20"/>
                <w:lang w:val="en-GB"/>
              </w:rPr>
            </w:pPr>
            <w:r>
              <w:rPr>
                <w:rFonts w:eastAsia="Calibri" w:cs="Times New Roman"/>
                <w:sz w:val="20"/>
                <w:lang w:val="en-GB"/>
              </w:rPr>
              <w:t>746,</w:t>
            </w:r>
            <w:r w:rsidR="00A537E3" w:rsidRPr="00B91EC8">
              <w:rPr>
                <w:rFonts w:eastAsia="Calibri" w:cs="Times New Roman"/>
                <w:sz w:val="20"/>
                <w:lang w:val="en-GB"/>
              </w:rPr>
              <w:t>298</w:t>
            </w:r>
          </w:p>
        </w:tc>
        <w:tc>
          <w:tcPr>
            <w:tcW w:w="1134" w:type="dxa"/>
            <w:tcBorders>
              <w:top w:val="single" w:sz="4" w:space="0" w:color="auto"/>
            </w:tcBorders>
            <w:vAlign w:val="center"/>
          </w:tcPr>
          <w:p w14:paraId="0E5128F1" w14:textId="5EEFB831" w:rsidR="00A537E3" w:rsidRPr="00B91EC8" w:rsidRDefault="00213B36" w:rsidP="00442571">
            <w:pPr>
              <w:rPr>
                <w:rFonts w:eastAsia="Calibri" w:cs="Times New Roman"/>
                <w:sz w:val="20"/>
                <w:lang w:val="en-GB"/>
              </w:rPr>
            </w:pPr>
            <w:r>
              <w:rPr>
                <w:rFonts w:eastAsia="Calibri" w:cs="Times New Roman"/>
                <w:sz w:val="20"/>
                <w:lang w:val="en-GB"/>
              </w:rPr>
              <w:t>614,</w:t>
            </w:r>
            <w:r w:rsidR="00A537E3" w:rsidRPr="00B91EC8">
              <w:rPr>
                <w:rFonts w:eastAsia="Calibri" w:cs="Times New Roman"/>
                <w:sz w:val="20"/>
                <w:lang w:val="en-GB"/>
              </w:rPr>
              <w:t>304</w:t>
            </w:r>
          </w:p>
        </w:tc>
        <w:tc>
          <w:tcPr>
            <w:tcW w:w="1417" w:type="dxa"/>
            <w:tcBorders>
              <w:top w:val="single" w:sz="4" w:space="0" w:color="auto"/>
            </w:tcBorders>
            <w:vAlign w:val="center"/>
          </w:tcPr>
          <w:p w14:paraId="5A9C5055" w14:textId="37AD8A5A" w:rsidR="00A537E3" w:rsidRPr="00B91EC8" w:rsidRDefault="003B3489" w:rsidP="00442571">
            <w:pPr>
              <w:rPr>
                <w:rFonts w:eastAsia="Calibri" w:cs="Times New Roman"/>
                <w:sz w:val="20"/>
                <w:lang w:val="en-GB"/>
              </w:rPr>
            </w:pPr>
            <w:r>
              <w:rPr>
                <w:rFonts w:eastAsia="Calibri" w:cs="Times New Roman"/>
                <w:sz w:val="20"/>
                <w:lang w:val="en-GB"/>
              </w:rPr>
              <w:t>1,360,</w:t>
            </w:r>
            <w:r w:rsidR="00A537E3" w:rsidRPr="00B91EC8">
              <w:rPr>
                <w:rFonts w:eastAsia="Calibri" w:cs="Times New Roman"/>
                <w:sz w:val="20"/>
                <w:lang w:val="en-GB"/>
              </w:rPr>
              <w:t>602</w:t>
            </w:r>
          </w:p>
        </w:tc>
      </w:tr>
      <w:tr w:rsidR="00A537E3" w:rsidRPr="00B91EC8" w14:paraId="15E8B2CB" w14:textId="77777777" w:rsidTr="00442571">
        <w:tc>
          <w:tcPr>
            <w:tcW w:w="962" w:type="dxa"/>
            <w:vMerge/>
          </w:tcPr>
          <w:p w14:paraId="7FA1A30D" w14:textId="77777777" w:rsidR="00A537E3" w:rsidRPr="00B91EC8" w:rsidRDefault="00A537E3" w:rsidP="00B668C1">
            <w:pPr>
              <w:rPr>
                <w:b/>
                <w:sz w:val="20"/>
                <w:lang w:val="en-GB"/>
              </w:rPr>
            </w:pPr>
          </w:p>
        </w:tc>
        <w:tc>
          <w:tcPr>
            <w:tcW w:w="3257" w:type="dxa"/>
          </w:tcPr>
          <w:p w14:paraId="76F91937" w14:textId="2C596E1F" w:rsidR="00A537E3" w:rsidRPr="00B91EC8" w:rsidRDefault="00A537E3" w:rsidP="003B3489">
            <w:pPr>
              <w:rPr>
                <w:sz w:val="20"/>
                <w:lang w:val="en-GB"/>
              </w:rPr>
            </w:pPr>
            <w:r w:rsidRPr="00B91EC8">
              <w:rPr>
                <w:sz w:val="20"/>
                <w:lang w:val="en-GB"/>
              </w:rPr>
              <w:t xml:space="preserve">Incidence – </w:t>
            </w:r>
            <w:r w:rsidR="003B3489">
              <w:rPr>
                <w:sz w:val="20"/>
                <w:lang w:val="en-GB"/>
              </w:rPr>
              <w:t>Czech Republic ranking</w:t>
            </w:r>
          </w:p>
        </w:tc>
        <w:tc>
          <w:tcPr>
            <w:tcW w:w="1276" w:type="dxa"/>
          </w:tcPr>
          <w:p w14:paraId="4D49379C" w14:textId="4CA0FD1B" w:rsidR="00A537E3" w:rsidRPr="00B91EC8" w:rsidRDefault="00213B36" w:rsidP="00442571">
            <w:pPr>
              <w:rPr>
                <w:sz w:val="20"/>
                <w:lang w:val="en-GB"/>
              </w:rPr>
            </w:pPr>
            <w:r>
              <w:rPr>
                <w:sz w:val="20"/>
                <w:lang w:val="en-GB"/>
              </w:rPr>
              <w:t>4th</w:t>
            </w:r>
          </w:p>
        </w:tc>
        <w:tc>
          <w:tcPr>
            <w:tcW w:w="1134" w:type="dxa"/>
          </w:tcPr>
          <w:p w14:paraId="0CE7336B" w14:textId="40DE8713" w:rsidR="00A537E3" w:rsidRPr="00B91EC8" w:rsidRDefault="00213B36" w:rsidP="00442571">
            <w:pPr>
              <w:rPr>
                <w:sz w:val="20"/>
                <w:lang w:val="en-GB"/>
              </w:rPr>
            </w:pPr>
            <w:r>
              <w:rPr>
                <w:sz w:val="20"/>
                <w:lang w:val="en-GB"/>
              </w:rPr>
              <w:t>16th</w:t>
            </w:r>
          </w:p>
        </w:tc>
        <w:tc>
          <w:tcPr>
            <w:tcW w:w="1417" w:type="dxa"/>
          </w:tcPr>
          <w:p w14:paraId="1CAC37E3" w14:textId="277A7E60" w:rsidR="00A537E3" w:rsidRPr="00B91EC8" w:rsidRDefault="003B3489" w:rsidP="00442571">
            <w:pPr>
              <w:rPr>
                <w:sz w:val="20"/>
                <w:lang w:val="en-GB"/>
              </w:rPr>
            </w:pPr>
            <w:r>
              <w:rPr>
                <w:sz w:val="20"/>
                <w:lang w:val="en-GB"/>
              </w:rPr>
              <w:t>6th</w:t>
            </w:r>
          </w:p>
        </w:tc>
      </w:tr>
      <w:tr w:rsidR="00A537E3" w:rsidRPr="00B91EC8" w14:paraId="6DFBD178" w14:textId="77777777" w:rsidTr="00442571">
        <w:tc>
          <w:tcPr>
            <w:tcW w:w="962" w:type="dxa"/>
            <w:vMerge/>
          </w:tcPr>
          <w:p w14:paraId="1B1FD97C" w14:textId="77777777" w:rsidR="00A537E3" w:rsidRPr="00B91EC8" w:rsidRDefault="00A537E3" w:rsidP="00B668C1">
            <w:pPr>
              <w:rPr>
                <w:b/>
                <w:sz w:val="20"/>
                <w:lang w:val="en-GB"/>
              </w:rPr>
            </w:pPr>
          </w:p>
        </w:tc>
        <w:tc>
          <w:tcPr>
            <w:tcW w:w="3257" w:type="dxa"/>
          </w:tcPr>
          <w:p w14:paraId="2FE72551" w14:textId="4445C22D" w:rsidR="00A537E3" w:rsidRPr="00B91EC8" w:rsidRDefault="003B3489" w:rsidP="003B3489">
            <w:pPr>
              <w:rPr>
                <w:sz w:val="20"/>
                <w:lang w:val="en-GB"/>
              </w:rPr>
            </w:pPr>
            <w:r>
              <w:rPr>
                <w:sz w:val="20"/>
                <w:lang w:val="en-GB"/>
              </w:rPr>
              <w:t>Mortality</w:t>
            </w:r>
            <w:r w:rsidR="00A537E3" w:rsidRPr="00B91EC8">
              <w:rPr>
                <w:sz w:val="20"/>
                <w:lang w:val="en-GB"/>
              </w:rPr>
              <w:t xml:space="preserve"> – </w:t>
            </w:r>
            <w:r>
              <w:rPr>
                <w:sz w:val="20"/>
                <w:lang w:val="en-GB"/>
              </w:rPr>
              <w:t>number of deaths</w:t>
            </w:r>
          </w:p>
        </w:tc>
        <w:tc>
          <w:tcPr>
            <w:tcW w:w="1276" w:type="dxa"/>
            <w:vAlign w:val="center"/>
          </w:tcPr>
          <w:p w14:paraId="518F61E7" w14:textId="3B0081C5" w:rsidR="00A537E3" w:rsidRPr="00B91EC8" w:rsidRDefault="00213B36" w:rsidP="00442571">
            <w:pPr>
              <w:rPr>
                <w:rFonts w:eastAsia="Calibri" w:cs="Times New Roman"/>
                <w:sz w:val="20"/>
                <w:lang w:val="en-GB"/>
              </w:rPr>
            </w:pPr>
            <w:r>
              <w:rPr>
                <w:rFonts w:eastAsia="Calibri" w:cs="Times New Roman"/>
                <w:sz w:val="20"/>
                <w:lang w:val="en-GB"/>
              </w:rPr>
              <w:t>373,</w:t>
            </w:r>
            <w:r w:rsidR="00A537E3" w:rsidRPr="00B91EC8">
              <w:rPr>
                <w:rFonts w:eastAsia="Calibri" w:cs="Times New Roman"/>
                <w:sz w:val="20"/>
                <w:lang w:val="en-GB"/>
              </w:rPr>
              <w:t>639</w:t>
            </w:r>
          </w:p>
        </w:tc>
        <w:tc>
          <w:tcPr>
            <w:tcW w:w="1134" w:type="dxa"/>
            <w:vAlign w:val="center"/>
          </w:tcPr>
          <w:p w14:paraId="04ABADB8" w14:textId="3458C2F5" w:rsidR="00A537E3" w:rsidRPr="00B91EC8" w:rsidRDefault="00213B36" w:rsidP="00442571">
            <w:pPr>
              <w:rPr>
                <w:rFonts w:eastAsia="Calibri" w:cs="Times New Roman"/>
                <w:sz w:val="20"/>
                <w:lang w:val="en-GB"/>
              </w:rPr>
            </w:pPr>
            <w:r>
              <w:rPr>
                <w:rFonts w:eastAsia="Calibri" w:cs="Times New Roman"/>
                <w:sz w:val="20"/>
                <w:lang w:val="en-GB"/>
              </w:rPr>
              <w:t>320,</w:t>
            </w:r>
            <w:r w:rsidR="00A537E3" w:rsidRPr="00B91EC8">
              <w:rPr>
                <w:rFonts w:eastAsia="Calibri" w:cs="Times New Roman"/>
                <w:sz w:val="20"/>
                <w:lang w:val="en-GB"/>
              </w:rPr>
              <w:t>294</w:t>
            </w:r>
          </w:p>
        </w:tc>
        <w:tc>
          <w:tcPr>
            <w:tcW w:w="1417" w:type="dxa"/>
            <w:vAlign w:val="center"/>
          </w:tcPr>
          <w:p w14:paraId="4934144E" w14:textId="1B4B88D9" w:rsidR="00A537E3" w:rsidRPr="00B91EC8" w:rsidRDefault="003B3489" w:rsidP="00442571">
            <w:pPr>
              <w:rPr>
                <w:rFonts w:eastAsia="Calibri" w:cs="Times New Roman"/>
                <w:sz w:val="20"/>
                <w:lang w:val="en-GB"/>
              </w:rPr>
            </w:pPr>
            <w:r>
              <w:rPr>
                <w:rFonts w:eastAsia="Calibri" w:cs="Times New Roman"/>
                <w:sz w:val="20"/>
                <w:lang w:val="en-GB"/>
              </w:rPr>
              <w:t>693,</w:t>
            </w:r>
            <w:r w:rsidR="00A537E3" w:rsidRPr="00B91EC8">
              <w:rPr>
                <w:rFonts w:eastAsia="Calibri" w:cs="Times New Roman"/>
                <w:sz w:val="20"/>
                <w:lang w:val="en-GB"/>
              </w:rPr>
              <w:t>933</w:t>
            </w:r>
          </w:p>
        </w:tc>
      </w:tr>
      <w:tr w:rsidR="00A537E3" w:rsidRPr="00B91EC8" w14:paraId="326EC061" w14:textId="77777777" w:rsidTr="00442571">
        <w:tc>
          <w:tcPr>
            <w:tcW w:w="962" w:type="dxa"/>
            <w:vMerge/>
            <w:tcBorders>
              <w:bottom w:val="single" w:sz="4" w:space="0" w:color="auto"/>
            </w:tcBorders>
          </w:tcPr>
          <w:p w14:paraId="709FE054" w14:textId="77777777" w:rsidR="00A537E3" w:rsidRPr="00B91EC8" w:rsidRDefault="00A537E3" w:rsidP="00B668C1">
            <w:pPr>
              <w:rPr>
                <w:b/>
                <w:sz w:val="20"/>
                <w:lang w:val="en-GB"/>
              </w:rPr>
            </w:pPr>
          </w:p>
        </w:tc>
        <w:tc>
          <w:tcPr>
            <w:tcW w:w="3257" w:type="dxa"/>
            <w:tcBorders>
              <w:bottom w:val="single" w:sz="4" w:space="0" w:color="auto"/>
            </w:tcBorders>
          </w:tcPr>
          <w:p w14:paraId="406DDA8C" w14:textId="34E0D4AB" w:rsidR="00A537E3" w:rsidRPr="00B91EC8" w:rsidRDefault="003B3489" w:rsidP="00B668C1">
            <w:pPr>
              <w:rPr>
                <w:sz w:val="20"/>
                <w:lang w:val="en-GB"/>
              </w:rPr>
            </w:pPr>
            <w:r>
              <w:rPr>
                <w:sz w:val="20"/>
                <w:lang w:val="en-GB"/>
              </w:rPr>
              <w:t>Mortality</w:t>
            </w:r>
            <w:r w:rsidR="00A537E3" w:rsidRPr="00B91EC8">
              <w:rPr>
                <w:sz w:val="20"/>
                <w:lang w:val="en-GB"/>
              </w:rPr>
              <w:t xml:space="preserve"> – </w:t>
            </w:r>
            <w:r>
              <w:rPr>
                <w:sz w:val="20"/>
                <w:lang w:val="en-GB"/>
              </w:rPr>
              <w:t>Czech Republic ranking</w:t>
            </w:r>
          </w:p>
        </w:tc>
        <w:tc>
          <w:tcPr>
            <w:tcW w:w="1276" w:type="dxa"/>
            <w:tcBorders>
              <w:bottom w:val="single" w:sz="4" w:space="0" w:color="auto"/>
            </w:tcBorders>
          </w:tcPr>
          <w:p w14:paraId="5165F337" w14:textId="3445FE93" w:rsidR="00A537E3" w:rsidRPr="00B91EC8" w:rsidRDefault="00213B36" w:rsidP="00442571">
            <w:pPr>
              <w:rPr>
                <w:sz w:val="20"/>
                <w:lang w:val="en-GB"/>
              </w:rPr>
            </w:pPr>
            <w:r>
              <w:rPr>
                <w:sz w:val="20"/>
                <w:lang w:val="en-GB"/>
              </w:rPr>
              <w:t>6th</w:t>
            </w:r>
          </w:p>
        </w:tc>
        <w:tc>
          <w:tcPr>
            <w:tcW w:w="1134" w:type="dxa"/>
            <w:tcBorders>
              <w:bottom w:val="single" w:sz="4" w:space="0" w:color="auto"/>
            </w:tcBorders>
          </w:tcPr>
          <w:p w14:paraId="4F307453" w14:textId="14944EF2" w:rsidR="00A537E3" w:rsidRPr="00B91EC8" w:rsidRDefault="003B3489" w:rsidP="00442571">
            <w:pPr>
              <w:rPr>
                <w:sz w:val="20"/>
                <w:lang w:val="en-GB"/>
              </w:rPr>
            </w:pPr>
            <w:r>
              <w:rPr>
                <w:sz w:val="20"/>
                <w:lang w:val="en-GB"/>
              </w:rPr>
              <w:t>31st</w:t>
            </w:r>
          </w:p>
        </w:tc>
        <w:tc>
          <w:tcPr>
            <w:tcW w:w="1417" w:type="dxa"/>
            <w:tcBorders>
              <w:bottom w:val="single" w:sz="4" w:space="0" w:color="auto"/>
            </w:tcBorders>
          </w:tcPr>
          <w:p w14:paraId="10EB6AD9" w14:textId="5AED83F9" w:rsidR="00A537E3" w:rsidRPr="00B91EC8" w:rsidRDefault="003B3489" w:rsidP="00442571">
            <w:pPr>
              <w:rPr>
                <w:sz w:val="20"/>
                <w:lang w:val="en-GB"/>
              </w:rPr>
            </w:pPr>
            <w:r>
              <w:rPr>
                <w:sz w:val="20"/>
                <w:lang w:val="en-GB"/>
              </w:rPr>
              <w:t>11th</w:t>
            </w:r>
          </w:p>
        </w:tc>
      </w:tr>
      <w:tr w:rsidR="00A537E3" w:rsidRPr="00B91EC8" w14:paraId="409F3679" w14:textId="77777777" w:rsidTr="00442571">
        <w:tc>
          <w:tcPr>
            <w:tcW w:w="962" w:type="dxa"/>
            <w:vMerge w:val="restart"/>
            <w:tcBorders>
              <w:top w:val="single" w:sz="4" w:space="0" w:color="auto"/>
            </w:tcBorders>
          </w:tcPr>
          <w:p w14:paraId="5DD70FE5" w14:textId="7C61C1BD" w:rsidR="00A537E3" w:rsidRPr="00B91EC8" w:rsidRDefault="00213B36" w:rsidP="00B668C1">
            <w:pPr>
              <w:rPr>
                <w:b/>
                <w:sz w:val="20"/>
                <w:lang w:val="en-GB"/>
              </w:rPr>
            </w:pPr>
            <w:r>
              <w:rPr>
                <w:b/>
                <w:sz w:val="20"/>
                <w:lang w:val="en-GB"/>
              </w:rPr>
              <w:t>Europe</w:t>
            </w:r>
          </w:p>
        </w:tc>
        <w:tc>
          <w:tcPr>
            <w:tcW w:w="3257" w:type="dxa"/>
            <w:tcBorders>
              <w:top w:val="single" w:sz="4" w:space="0" w:color="auto"/>
            </w:tcBorders>
          </w:tcPr>
          <w:p w14:paraId="1E89A90C" w14:textId="4886DE0E" w:rsidR="00A537E3" w:rsidRPr="00B91EC8" w:rsidRDefault="00A537E3" w:rsidP="003B3489">
            <w:pPr>
              <w:rPr>
                <w:sz w:val="20"/>
                <w:lang w:val="en-GB"/>
              </w:rPr>
            </w:pPr>
            <w:r w:rsidRPr="00B91EC8">
              <w:rPr>
                <w:sz w:val="20"/>
                <w:lang w:val="en-GB"/>
              </w:rPr>
              <w:t xml:space="preserve">Incidence – </w:t>
            </w:r>
            <w:r w:rsidR="003B3489">
              <w:rPr>
                <w:sz w:val="20"/>
                <w:lang w:val="en-GB"/>
              </w:rPr>
              <w:t>number of new cases</w:t>
            </w:r>
          </w:p>
        </w:tc>
        <w:tc>
          <w:tcPr>
            <w:tcW w:w="1276" w:type="dxa"/>
            <w:tcBorders>
              <w:top w:val="single" w:sz="4" w:space="0" w:color="auto"/>
            </w:tcBorders>
            <w:vAlign w:val="center"/>
          </w:tcPr>
          <w:p w14:paraId="2226F792" w14:textId="6BAEBC09" w:rsidR="00A537E3" w:rsidRPr="00B91EC8" w:rsidRDefault="003B3489" w:rsidP="00442571">
            <w:pPr>
              <w:rPr>
                <w:rFonts w:eastAsia="Calibri" w:cs="Times New Roman"/>
                <w:sz w:val="20"/>
                <w:lang w:val="en-GB"/>
              </w:rPr>
            </w:pPr>
            <w:r>
              <w:rPr>
                <w:rFonts w:eastAsia="Calibri" w:cs="Times New Roman"/>
                <w:sz w:val="20"/>
                <w:lang w:val="en-GB"/>
              </w:rPr>
              <w:t>241,</w:t>
            </w:r>
            <w:r w:rsidR="00A537E3" w:rsidRPr="00B91EC8">
              <w:rPr>
                <w:rFonts w:eastAsia="Calibri" w:cs="Times New Roman"/>
                <w:sz w:val="20"/>
                <w:lang w:val="en-GB"/>
              </w:rPr>
              <w:t>813</w:t>
            </w:r>
          </w:p>
        </w:tc>
        <w:tc>
          <w:tcPr>
            <w:tcW w:w="1134" w:type="dxa"/>
            <w:tcBorders>
              <w:top w:val="single" w:sz="4" w:space="0" w:color="auto"/>
            </w:tcBorders>
            <w:vAlign w:val="center"/>
          </w:tcPr>
          <w:p w14:paraId="4BF45715" w14:textId="2B10CCA5" w:rsidR="00A537E3" w:rsidRPr="00B91EC8" w:rsidRDefault="003B3489" w:rsidP="00442571">
            <w:pPr>
              <w:rPr>
                <w:rFonts w:eastAsia="Calibri" w:cs="Times New Roman"/>
                <w:sz w:val="20"/>
                <w:lang w:val="en-GB"/>
              </w:rPr>
            </w:pPr>
            <w:r>
              <w:rPr>
                <w:rFonts w:eastAsia="Calibri" w:cs="Times New Roman"/>
                <w:sz w:val="20"/>
                <w:lang w:val="en-GB"/>
              </w:rPr>
              <w:t>205,</w:t>
            </w:r>
            <w:r w:rsidR="00A537E3" w:rsidRPr="00B91EC8">
              <w:rPr>
                <w:rFonts w:eastAsia="Calibri" w:cs="Times New Roman"/>
                <w:sz w:val="20"/>
                <w:lang w:val="en-GB"/>
              </w:rPr>
              <w:t>323</w:t>
            </w:r>
          </w:p>
        </w:tc>
        <w:tc>
          <w:tcPr>
            <w:tcW w:w="1417" w:type="dxa"/>
            <w:tcBorders>
              <w:top w:val="single" w:sz="4" w:space="0" w:color="auto"/>
            </w:tcBorders>
            <w:vAlign w:val="center"/>
          </w:tcPr>
          <w:p w14:paraId="77BD9F8F" w14:textId="5D915B8A" w:rsidR="00A537E3" w:rsidRPr="00B91EC8" w:rsidRDefault="003B3489" w:rsidP="00442571">
            <w:pPr>
              <w:rPr>
                <w:rFonts w:eastAsia="Calibri" w:cs="Times New Roman"/>
                <w:sz w:val="20"/>
                <w:lang w:val="en-GB"/>
              </w:rPr>
            </w:pPr>
            <w:r>
              <w:rPr>
                <w:rFonts w:eastAsia="Calibri" w:cs="Times New Roman"/>
                <w:sz w:val="20"/>
                <w:lang w:val="en-GB"/>
              </w:rPr>
              <w:t>447,</w:t>
            </w:r>
            <w:r w:rsidR="00A537E3" w:rsidRPr="00B91EC8">
              <w:rPr>
                <w:rFonts w:eastAsia="Calibri" w:cs="Times New Roman"/>
                <w:sz w:val="20"/>
                <w:lang w:val="en-GB"/>
              </w:rPr>
              <w:t>136</w:t>
            </w:r>
          </w:p>
        </w:tc>
      </w:tr>
      <w:tr w:rsidR="00A537E3" w:rsidRPr="00B91EC8" w14:paraId="241F55D6" w14:textId="77777777" w:rsidTr="00442571">
        <w:tc>
          <w:tcPr>
            <w:tcW w:w="962" w:type="dxa"/>
            <w:vMerge/>
          </w:tcPr>
          <w:p w14:paraId="36F98DCF" w14:textId="77777777" w:rsidR="00A537E3" w:rsidRPr="00B91EC8" w:rsidRDefault="00A537E3" w:rsidP="00B668C1">
            <w:pPr>
              <w:rPr>
                <w:b/>
                <w:sz w:val="20"/>
                <w:lang w:val="en-GB"/>
              </w:rPr>
            </w:pPr>
          </w:p>
        </w:tc>
        <w:tc>
          <w:tcPr>
            <w:tcW w:w="3257" w:type="dxa"/>
          </w:tcPr>
          <w:p w14:paraId="1EC20D7A" w14:textId="75D16E13" w:rsidR="00A537E3" w:rsidRPr="00B91EC8" w:rsidRDefault="00A537E3" w:rsidP="00B668C1">
            <w:pPr>
              <w:rPr>
                <w:sz w:val="20"/>
                <w:lang w:val="en-GB"/>
              </w:rPr>
            </w:pPr>
            <w:r w:rsidRPr="00B91EC8">
              <w:rPr>
                <w:sz w:val="20"/>
                <w:lang w:val="en-GB"/>
              </w:rPr>
              <w:t xml:space="preserve">Incidence – </w:t>
            </w:r>
            <w:r w:rsidR="003B3489">
              <w:rPr>
                <w:sz w:val="20"/>
                <w:lang w:val="en-GB"/>
              </w:rPr>
              <w:t>Czech Republic ranking</w:t>
            </w:r>
          </w:p>
        </w:tc>
        <w:tc>
          <w:tcPr>
            <w:tcW w:w="1276" w:type="dxa"/>
          </w:tcPr>
          <w:p w14:paraId="158BBB8B" w14:textId="5EBA4509" w:rsidR="00A537E3" w:rsidRPr="00B91EC8" w:rsidRDefault="003B3489" w:rsidP="00442571">
            <w:pPr>
              <w:rPr>
                <w:sz w:val="20"/>
                <w:lang w:val="en-GB"/>
              </w:rPr>
            </w:pPr>
            <w:r>
              <w:rPr>
                <w:sz w:val="20"/>
                <w:lang w:val="en-GB"/>
              </w:rPr>
              <w:t>3rd</w:t>
            </w:r>
          </w:p>
        </w:tc>
        <w:tc>
          <w:tcPr>
            <w:tcW w:w="1134" w:type="dxa"/>
          </w:tcPr>
          <w:p w14:paraId="2CA67C25" w14:textId="71D7B238" w:rsidR="00A537E3" w:rsidRPr="00B91EC8" w:rsidRDefault="003B3489" w:rsidP="00442571">
            <w:pPr>
              <w:rPr>
                <w:sz w:val="20"/>
                <w:lang w:val="en-GB"/>
              </w:rPr>
            </w:pPr>
            <w:r>
              <w:rPr>
                <w:sz w:val="20"/>
                <w:lang w:val="en-GB"/>
              </w:rPr>
              <w:t>10th</w:t>
            </w:r>
          </w:p>
        </w:tc>
        <w:tc>
          <w:tcPr>
            <w:tcW w:w="1417" w:type="dxa"/>
          </w:tcPr>
          <w:p w14:paraId="09F55736" w14:textId="1ED8FEB1" w:rsidR="00A537E3" w:rsidRPr="00B91EC8" w:rsidRDefault="003B3489" w:rsidP="00442571">
            <w:pPr>
              <w:rPr>
                <w:sz w:val="20"/>
                <w:lang w:val="en-GB"/>
              </w:rPr>
            </w:pPr>
            <w:r>
              <w:rPr>
                <w:sz w:val="20"/>
                <w:lang w:val="en-GB"/>
              </w:rPr>
              <w:t>5th</w:t>
            </w:r>
          </w:p>
        </w:tc>
      </w:tr>
      <w:tr w:rsidR="00A537E3" w:rsidRPr="00B91EC8" w14:paraId="0BB89F13" w14:textId="77777777" w:rsidTr="00442571">
        <w:tc>
          <w:tcPr>
            <w:tcW w:w="962" w:type="dxa"/>
            <w:vMerge/>
          </w:tcPr>
          <w:p w14:paraId="612CB474" w14:textId="77777777" w:rsidR="00A537E3" w:rsidRPr="00B91EC8" w:rsidRDefault="00A537E3" w:rsidP="00B668C1">
            <w:pPr>
              <w:rPr>
                <w:b/>
                <w:sz w:val="20"/>
                <w:lang w:val="en-GB"/>
              </w:rPr>
            </w:pPr>
          </w:p>
        </w:tc>
        <w:tc>
          <w:tcPr>
            <w:tcW w:w="3257" w:type="dxa"/>
          </w:tcPr>
          <w:p w14:paraId="0B13AB72" w14:textId="4C043CE6" w:rsidR="00A537E3" w:rsidRPr="00B91EC8" w:rsidRDefault="003B3489" w:rsidP="003B3489">
            <w:pPr>
              <w:rPr>
                <w:sz w:val="20"/>
                <w:lang w:val="en-GB"/>
              </w:rPr>
            </w:pPr>
            <w:r>
              <w:rPr>
                <w:sz w:val="20"/>
                <w:lang w:val="en-GB"/>
              </w:rPr>
              <w:t>Mortality</w:t>
            </w:r>
            <w:r w:rsidR="00A537E3" w:rsidRPr="00B91EC8">
              <w:rPr>
                <w:sz w:val="20"/>
                <w:lang w:val="en-GB"/>
              </w:rPr>
              <w:t xml:space="preserve"> – </w:t>
            </w:r>
            <w:r>
              <w:rPr>
                <w:sz w:val="20"/>
                <w:lang w:val="en-GB"/>
              </w:rPr>
              <w:t>number of deaths</w:t>
            </w:r>
          </w:p>
        </w:tc>
        <w:tc>
          <w:tcPr>
            <w:tcW w:w="1276" w:type="dxa"/>
            <w:vAlign w:val="bottom"/>
          </w:tcPr>
          <w:p w14:paraId="0CA4FE12" w14:textId="6B221629" w:rsidR="00A537E3" w:rsidRPr="00B91EC8" w:rsidRDefault="003B3489" w:rsidP="00442571">
            <w:pPr>
              <w:rPr>
                <w:rFonts w:eastAsia="Calibri" w:cs="Times New Roman"/>
                <w:sz w:val="20"/>
                <w:lang w:val="en-GB"/>
              </w:rPr>
            </w:pPr>
            <w:r>
              <w:rPr>
                <w:rFonts w:eastAsia="Calibri" w:cs="Times New Roman"/>
                <w:sz w:val="20"/>
                <w:lang w:val="en-GB"/>
              </w:rPr>
              <w:t>113,</w:t>
            </w:r>
            <w:r w:rsidR="00A537E3" w:rsidRPr="00B91EC8">
              <w:rPr>
                <w:rFonts w:eastAsia="Calibri" w:cs="Times New Roman"/>
                <w:sz w:val="20"/>
                <w:lang w:val="en-GB"/>
              </w:rPr>
              <w:t>246</w:t>
            </w:r>
          </w:p>
        </w:tc>
        <w:tc>
          <w:tcPr>
            <w:tcW w:w="1134" w:type="dxa"/>
            <w:vAlign w:val="bottom"/>
          </w:tcPr>
          <w:p w14:paraId="30B3C139" w14:textId="0D13C794" w:rsidR="00A537E3" w:rsidRPr="00B91EC8" w:rsidRDefault="003B3489" w:rsidP="00442571">
            <w:pPr>
              <w:rPr>
                <w:rFonts w:eastAsia="Calibri" w:cs="Times New Roman"/>
                <w:sz w:val="20"/>
                <w:lang w:val="en-GB"/>
              </w:rPr>
            </w:pPr>
            <w:r>
              <w:rPr>
                <w:rFonts w:eastAsia="Calibri" w:cs="Times New Roman"/>
                <w:sz w:val="20"/>
                <w:lang w:val="en-GB"/>
              </w:rPr>
              <w:t>101,</w:t>
            </w:r>
            <w:r w:rsidR="00A537E3" w:rsidRPr="00B91EC8">
              <w:rPr>
                <w:rFonts w:eastAsia="Calibri" w:cs="Times New Roman"/>
                <w:sz w:val="20"/>
                <w:lang w:val="en-GB"/>
              </w:rPr>
              <w:t>620</w:t>
            </w:r>
          </w:p>
        </w:tc>
        <w:tc>
          <w:tcPr>
            <w:tcW w:w="1417" w:type="dxa"/>
            <w:vAlign w:val="bottom"/>
          </w:tcPr>
          <w:p w14:paraId="7B086286" w14:textId="3B5AE938" w:rsidR="00A537E3" w:rsidRPr="00B91EC8" w:rsidRDefault="003B3489" w:rsidP="00442571">
            <w:pPr>
              <w:rPr>
                <w:rFonts w:eastAsia="Calibri" w:cs="Times New Roman"/>
                <w:sz w:val="20"/>
                <w:lang w:val="en-GB"/>
              </w:rPr>
            </w:pPr>
            <w:r>
              <w:rPr>
                <w:rFonts w:eastAsia="Calibri" w:cs="Times New Roman"/>
                <w:sz w:val="20"/>
                <w:lang w:val="en-GB"/>
              </w:rPr>
              <w:t>214,</w:t>
            </w:r>
            <w:r w:rsidR="00A537E3" w:rsidRPr="00B91EC8">
              <w:rPr>
                <w:rFonts w:eastAsia="Calibri" w:cs="Times New Roman"/>
                <w:sz w:val="20"/>
                <w:lang w:val="en-GB"/>
              </w:rPr>
              <w:t>866</w:t>
            </w:r>
          </w:p>
        </w:tc>
      </w:tr>
      <w:tr w:rsidR="00A537E3" w:rsidRPr="00B91EC8" w14:paraId="60435BB9" w14:textId="77777777" w:rsidTr="00442571">
        <w:tc>
          <w:tcPr>
            <w:tcW w:w="962" w:type="dxa"/>
            <w:vMerge/>
            <w:tcBorders>
              <w:bottom w:val="single" w:sz="4" w:space="0" w:color="auto"/>
            </w:tcBorders>
          </w:tcPr>
          <w:p w14:paraId="44BB6110" w14:textId="77777777" w:rsidR="00A537E3" w:rsidRPr="00B91EC8" w:rsidRDefault="00A537E3" w:rsidP="00B668C1">
            <w:pPr>
              <w:rPr>
                <w:b/>
                <w:sz w:val="20"/>
                <w:lang w:val="en-GB"/>
              </w:rPr>
            </w:pPr>
          </w:p>
        </w:tc>
        <w:tc>
          <w:tcPr>
            <w:tcW w:w="3257" w:type="dxa"/>
            <w:tcBorders>
              <w:bottom w:val="single" w:sz="4" w:space="0" w:color="auto"/>
            </w:tcBorders>
          </w:tcPr>
          <w:p w14:paraId="63876F63" w14:textId="3891C64B" w:rsidR="00A537E3" w:rsidRPr="00B91EC8" w:rsidRDefault="003B3489" w:rsidP="00B668C1">
            <w:pPr>
              <w:rPr>
                <w:sz w:val="20"/>
                <w:lang w:val="en-GB"/>
              </w:rPr>
            </w:pPr>
            <w:r>
              <w:rPr>
                <w:sz w:val="20"/>
                <w:lang w:val="en-GB"/>
              </w:rPr>
              <w:t>Mortality</w:t>
            </w:r>
            <w:r w:rsidR="00A537E3" w:rsidRPr="00B91EC8">
              <w:rPr>
                <w:sz w:val="20"/>
                <w:lang w:val="en-GB"/>
              </w:rPr>
              <w:t xml:space="preserve"> – </w:t>
            </w:r>
            <w:r>
              <w:rPr>
                <w:sz w:val="20"/>
                <w:lang w:val="en-GB"/>
              </w:rPr>
              <w:t>Czech Republic ranking</w:t>
            </w:r>
          </w:p>
        </w:tc>
        <w:tc>
          <w:tcPr>
            <w:tcW w:w="1276" w:type="dxa"/>
            <w:tcBorders>
              <w:bottom w:val="single" w:sz="4" w:space="0" w:color="auto"/>
            </w:tcBorders>
          </w:tcPr>
          <w:p w14:paraId="5DC91B3B" w14:textId="782B82EE" w:rsidR="00A537E3" w:rsidRPr="00B91EC8" w:rsidRDefault="003B3489" w:rsidP="00442571">
            <w:pPr>
              <w:rPr>
                <w:sz w:val="20"/>
                <w:lang w:val="en-GB"/>
              </w:rPr>
            </w:pPr>
            <w:r>
              <w:rPr>
                <w:sz w:val="20"/>
                <w:lang w:val="en-GB"/>
              </w:rPr>
              <w:t>6th</w:t>
            </w:r>
          </w:p>
        </w:tc>
        <w:tc>
          <w:tcPr>
            <w:tcW w:w="1134" w:type="dxa"/>
            <w:tcBorders>
              <w:bottom w:val="single" w:sz="4" w:space="0" w:color="auto"/>
            </w:tcBorders>
          </w:tcPr>
          <w:p w14:paraId="0726805A" w14:textId="7CA28C4B" w:rsidR="00A537E3" w:rsidRPr="00B91EC8" w:rsidRDefault="003B3489" w:rsidP="00442571">
            <w:pPr>
              <w:rPr>
                <w:sz w:val="20"/>
                <w:lang w:val="en-GB"/>
              </w:rPr>
            </w:pPr>
            <w:r>
              <w:rPr>
                <w:sz w:val="20"/>
                <w:lang w:val="en-GB"/>
              </w:rPr>
              <w:t>20th</w:t>
            </w:r>
          </w:p>
        </w:tc>
        <w:tc>
          <w:tcPr>
            <w:tcW w:w="1417" w:type="dxa"/>
            <w:tcBorders>
              <w:bottom w:val="single" w:sz="4" w:space="0" w:color="auto"/>
            </w:tcBorders>
          </w:tcPr>
          <w:p w14:paraId="6B16AEF8" w14:textId="2A034120" w:rsidR="00A537E3" w:rsidRPr="00B91EC8" w:rsidRDefault="003B3489" w:rsidP="00442571">
            <w:pPr>
              <w:rPr>
                <w:sz w:val="20"/>
                <w:lang w:val="en-GB"/>
              </w:rPr>
            </w:pPr>
            <w:r>
              <w:rPr>
                <w:sz w:val="20"/>
                <w:lang w:val="en-GB"/>
              </w:rPr>
              <w:t>9th</w:t>
            </w:r>
          </w:p>
        </w:tc>
      </w:tr>
    </w:tbl>
    <w:p w14:paraId="1322BD53" w14:textId="77777777" w:rsidR="0039610C" w:rsidRPr="00B91EC8" w:rsidRDefault="0039610C">
      <w:pPr>
        <w:rPr>
          <w:lang w:val="en-GB"/>
        </w:rPr>
      </w:pPr>
    </w:p>
    <w:p w14:paraId="36C5C8F5" w14:textId="0B874251" w:rsidR="00162168" w:rsidRPr="00B91EC8" w:rsidRDefault="002219FB">
      <w:pPr>
        <w:rPr>
          <w:lang w:val="en-GB"/>
        </w:rPr>
      </w:pPr>
      <w:r w:rsidRPr="002219FB">
        <w:rPr>
          <w:lang w:val="en-GB"/>
        </w:rPr>
        <w:t>The Czech Republic is characterised by a high burden of colorectal cancer, ranking on the top positions when compared to other countries. Czech male colorectal cancer incidence rates (i.e., numbers of newly diagnosed cases of CRC) rank 4th worldwide and 3rd in Europe, while female rates rank 16th worldwide and 10th in Europe. When taking both sexes into account, the Czech CRC incidence rates rank 6th worldwide and 5th in Europe (</w:t>
      </w:r>
      <w:r w:rsidRPr="002219FB">
        <w:rPr>
          <w:b/>
          <w:u w:val="single"/>
          <w:lang w:val="en-GB"/>
        </w:rPr>
        <w:t>Table 1</w:t>
      </w:r>
      <w:r w:rsidRPr="002219FB">
        <w:rPr>
          <w:lang w:val="en-GB"/>
        </w:rPr>
        <w:t xml:space="preserve">, </w:t>
      </w:r>
      <w:r w:rsidRPr="002219FB">
        <w:rPr>
          <w:b/>
          <w:u w:val="single"/>
          <w:lang w:val="en-GB"/>
        </w:rPr>
        <w:t>Figure 1</w:t>
      </w:r>
      <w:r w:rsidRPr="002219FB">
        <w:rPr>
          <w:lang w:val="en-GB"/>
        </w:rPr>
        <w:t>). International statistics have shown that CRC is a disease typical</w:t>
      </w:r>
      <w:r>
        <w:rPr>
          <w:lang w:val="en-GB"/>
        </w:rPr>
        <w:t>ly</w:t>
      </w:r>
      <w:r w:rsidRPr="002219FB">
        <w:rPr>
          <w:lang w:val="en-GB"/>
        </w:rPr>
        <w:t xml:space="preserve"> </w:t>
      </w:r>
      <w:r>
        <w:rPr>
          <w:lang w:val="en-GB"/>
        </w:rPr>
        <w:t>occurring in</w:t>
      </w:r>
      <w:r w:rsidRPr="002219FB">
        <w:rPr>
          <w:lang w:val="en-GB"/>
        </w:rPr>
        <w:t xml:space="preserve"> Central and West European countries, and have confirmed that CRC is more common in men than in women.</w:t>
      </w:r>
    </w:p>
    <w:p w14:paraId="28C88001" w14:textId="2EE369E0" w:rsidR="002D55FA" w:rsidRDefault="002D55FA" w:rsidP="00853D5C">
      <w:pPr>
        <w:pStyle w:val="Heading2"/>
        <w:rPr>
          <w:lang w:val="en-GB"/>
        </w:rPr>
      </w:pPr>
      <w:r>
        <w:rPr>
          <w:lang w:val="en-GB"/>
        </w:rPr>
        <w:t>Thousands of people die of colorectal cancer in the Czech Republic each year</w:t>
      </w:r>
    </w:p>
    <w:p w14:paraId="02FFA8D0" w14:textId="7C265E98" w:rsidR="00853D5C" w:rsidRPr="00B91EC8" w:rsidRDefault="00EE40CD">
      <w:pPr>
        <w:rPr>
          <w:lang w:val="en-GB"/>
        </w:rPr>
      </w:pPr>
      <w:r w:rsidRPr="00EE40CD">
        <w:rPr>
          <w:lang w:val="en-GB"/>
        </w:rPr>
        <w:t xml:space="preserve">Each year, almost 8,000 citizens of the Czech Republic </w:t>
      </w:r>
      <w:r w:rsidR="00BD1E1C">
        <w:rPr>
          <w:lang w:val="en-GB"/>
        </w:rPr>
        <w:t>receive</w:t>
      </w:r>
      <w:r w:rsidRPr="00EE40CD">
        <w:rPr>
          <w:lang w:val="en-GB"/>
        </w:rPr>
        <w:t xml:space="preserve"> the diagnosis of colorectal cancer, and almost 4,000 people die from </w:t>
      </w:r>
      <w:r w:rsidR="00BD1E1C">
        <w:rPr>
          <w:lang w:val="en-GB"/>
        </w:rPr>
        <w:t>the disease</w:t>
      </w:r>
      <w:r w:rsidRPr="00EE40CD">
        <w:rPr>
          <w:lang w:val="en-GB"/>
        </w:rPr>
        <w:t xml:space="preserve"> (</w:t>
      </w:r>
      <w:r w:rsidRPr="00EE40CD">
        <w:rPr>
          <w:b/>
          <w:u w:val="single"/>
          <w:lang w:val="en-GB"/>
        </w:rPr>
        <w:t>Table 2</w:t>
      </w:r>
      <w:r w:rsidRPr="00EE40CD">
        <w:rPr>
          <w:lang w:val="en-GB"/>
        </w:rPr>
        <w:t xml:space="preserve">). Colorectal cancer therefore significantly contributes to the overall cancer burden of the Czech population: it is the second most common cancer in both sexes (after prostate cancer in men, and breast cancer in women). </w:t>
      </w:r>
      <w:r w:rsidR="00D30ECF">
        <w:rPr>
          <w:lang w:val="en-GB"/>
        </w:rPr>
        <w:t>Additionally</w:t>
      </w:r>
      <w:r w:rsidRPr="00EE40CD">
        <w:rPr>
          <w:lang w:val="en-GB"/>
        </w:rPr>
        <w:t>, although CRC is more commo</w:t>
      </w:r>
      <w:r>
        <w:rPr>
          <w:lang w:val="en-GB"/>
        </w:rPr>
        <w:t xml:space="preserve">n in elderly people (a typical </w:t>
      </w:r>
      <w:r w:rsidRPr="00EE40CD">
        <w:rPr>
          <w:lang w:val="en-GB"/>
        </w:rPr>
        <w:t>Czech CRC patient is aged between 61 and 77 years), it affects many people of working age: about a fifth of patients are diagnosed at the age of under 60.</w:t>
      </w:r>
    </w:p>
    <w:p w14:paraId="24FBEC0F" w14:textId="77777777" w:rsidR="00442571" w:rsidRPr="00B91EC8" w:rsidRDefault="00442571">
      <w:pPr>
        <w:rPr>
          <w:lang w:val="en-GB"/>
        </w:rPr>
      </w:pPr>
    </w:p>
    <w:p w14:paraId="6F9BD3A4" w14:textId="77777777" w:rsidR="00442571" w:rsidRPr="00B91EC8" w:rsidRDefault="00442571">
      <w:pPr>
        <w:rPr>
          <w:lang w:val="en-GB"/>
        </w:rPr>
      </w:pPr>
    </w:p>
    <w:p w14:paraId="48132367" w14:textId="77777777" w:rsidR="00565867" w:rsidRPr="00B91EC8" w:rsidRDefault="00565867">
      <w:pPr>
        <w:rPr>
          <w:lang w:val="en-GB"/>
        </w:rPr>
      </w:pPr>
    </w:p>
    <w:p w14:paraId="214204C1" w14:textId="77777777" w:rsidR="00565867" w:rsidRPr="00B91EC8" w:rsidRDefault="00565867">
      <w:pPr>
        <w:rPr>
          <w:lang w:val="en-GB"/>
        </w:rPr>
      </w:pPr>
    </w:p>
    <w:p w14:paraId="7CBD2DE3" w14:textId="58912D5A" w:rsidR="00604EB5" w:rsidRPr="00B91EC8" w:rsidRDefault="00F956C6" w:rsidP="00604EB5">
      <w:pPr>
        <w:rPr>
          <w:i/>
          <w:lang w:val="en-GB"/>
        </w:rPr>
      </w:pPr>
      <w:r>
        <w:rPr>
          <w:i/>
          <w:lang w:val="en-GB"/>
        </w:rPr>
        <w:t>Figure</w:t>
      </w:r>
      <w:r w:rsidR="00604EB5" w:rsidRPr="00B91EC8">
        <w:rPr>
          <w:i/>
          <w:lang w:val="en-GB"/>
        </w:rPr>
        <w:t xml:space="preserve"> 1: </w:t>
      </w:r>
      <w:r w:rsidRPr="00F956C6">
        <w:rPr>
          <w:lang w:val="en-GB"/>
        </w:rPr>
        <w:t>Colorectal cancer incidence rates worldwide and in Europe.</w:t>
      </w:r>
      <w:r>
        <w:rPr>
          <w:i/>
          <w:lang w:val="en-GB"/>
        </w:rPr>
        <w:t xml:space="preserve"> Source of data</w:t>
      </w:r>
      <w:r w:rsidR="00993FD8" w:rsidRPr="00B91EC8">
        <w:rPr>
          <w:i/>
          <w:lang w:val="en-GB"/>
        </w:rPr>
        <w:t>:</w:t>
      </w:r>
      <w:r w:rsidR="00604EB5" w:rsidRPr="00F956C6">
        <w:rPr>
          <w:lang w:val="en-GB"/>
        </w:rPr>
        <w:t xml:space="preserve"> Ferlay et al., 2013</w:t>
      </w:r>
    </w:p>
    <w:p w14:paraId="00964C23" w14:textId="77777777" w:rsidR="00604EB5" w:rsidRPr="00B91EC8" w:rsidRDefault="00604EB5" w:rsidP="00604EB5">
      <w:pPr>
        <w:rPr>
          <w:lang w:val="en-GB"/>
        </w:rPr>
      </w:pPr>
      <w:r w:rsidRPr="00B91EC8">
        <w:rPr>
          <w:noProof/>
          <w:lang w:val="en-US"/>
        </w:rPr>
        <w:drawing>
          <wp:inline distT="0" distB="0" distL="0" distR="0" wp14:anchorId="09C43BBA" wp14:editId="3C68C42E">
            <wp:extent cx="5033337" cy="6689716"/>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034542" cy="6691318"/>
                    </a:xfrm>
                    <a:prstGeom prst="rect">
                      <a:avLst/>
                    </a:prstGeom>
                    <a:noFill/>
                  </pic:spPr>
                </pic:pic>
              </a:graphicData>
            </a:graphic>
          </wp:inline>
        </w:drawing>
      </w:r>
    </w:p>
    <w:p w14:paraId="20F39922" w14:textId="7161B7C3" w:rsidR="00604EB5" w:rsidRPr="00B91EC8" w:rsidRDefault="00F956C6" w:rsidP="00604E39">
      <w:pPr>
        <w:spacing w:after="0"/>
        <w:rPr>
          <w:i/>
          <w:lang w:val="en-GB"/>
        </w:rPr>
      </w:pPr>
      <w:r>
        <w:rPr>
          <w:i/>
          <w:lang w:val="en-GB"/>
        </w:rPr>
        <w:lastRenderedPageBreak/>
        <w:t>Table</w:t>
      </w:r>
      <w:r w:rsidR="00604EB5" w:rsidRPr="00B91EC8">
        <w:rPr>
          <w:i/>
          <w:lang w:val="en-GB"/>
        </w:rPr>
        <w:t xml:space="preserve"> 2: </w:t>
      </w:r>
      <w:r w:rsidRPr="00F956C6">
        <w:rPr>
          <w:lang w:val="en-GB"/>
        </w:rPr>
        <w:t>CRC epidemiology in the Czech Republic.</w:t>
      </w:r>
    </w:p>
    <w:tbl>
      <w:tblPr>
        <w:tblW w:w="0" w:type="auto"/>
        <w:tblLayout w:type="fixed"/>
        <w:tblLook w:val="00A0" w:firstRow="1" w:lastRow="0" w:firstColumn="1" w:lastColumn="0" w:noHBand="0" w:noVBand="0"/>
      </w:tblPr>
      <w:tblGrid>
        <w:gridCol w:w="5211"/>
        <w:gridCol w:w="1488"/>
        <w:gridCol w:w="1283"/>
      </w:tblGrid>
      <w:tr w:rsidR="00604EB5" w:rsidRPr="00B91EC8" w14:paraId="62F5DDE0" w14:textId="77777777" w:rsidTr="00B668C1">
        <w:tc>
          <w:tcPr>
            <w:tcW w:w="5211" w:type="dxa"/>
            <w:tcBorders>
              <w:top w:val="single" w:sz="4" w:space="0" w:color="auto"/>
              <w:bottom w:val="single" w:sz="4" w:space="0" w:color="auto"/>
            </w:tcBorders>
          </w:tcPr>
          <w:p w14:paraId="3C466C98" w14:textId="77777777" w:rsidR="00604EB5" w:rsidRPr="00B91EC8" w:rsidRDefault="00604EB5" w:rsidP="00604E39">
            <w:pPr>
              <w:spacing w:after="0" w:line="240" w:lineRule="auto"/>
              <w:jc w:val="both"/>
              <w:rPr>
                <w:sz w:val="20"/>
                <w:lang w:val="en-GB"/>
              </w:rPr>
            </w:pPr>
          </w:p>
        </w:tc>
        <w:tc>
          <w:tcPr>
            <w:tcW w:w="1488" w:type="dxa"/>
            <w:tcBorders>
              <w:top w:val="single" w:sz="4" w:space="0" w:color="auto"/>
              <w:bottom w:val="single" w:sz="4" w:space="0" w:color="auto"/>
            </w:tcBorders>
          </w:tcPr>
          <w:p w14:paraId="74C0CDE2" w14:textId="7C376B51" w:rsidR="00604EB5" w:rsidRPr="00B91EC8" w:rsidRDefault="00916FDF" w:rsidP="00F521C7">
            <w:pPr>
              <w:spacing w:after="0" w:line="240" w:lineRule="auto"/>
              <w:rPr>
                <w:b/>
                <w:sz w:val="20"/>
                <w:lang w:val="en-GB"/>
              </w:rPr>
            </w:pPr>
            <w:r>
              <w:rPr>
                <w:b/>
                <w:sz w:val="20"/>
                <w:lang w:val="en-GB"/>
              </w:rPr>
              <w:t>Year</w:t>
            </w:r>
            <w:r w:rsidR="00604EB5" w:rsidRPr="00B91EC8">
              <w:rPr>
                <w:b/>
                <w:sz w:val="20"/>
                <w:lang w:val="en-GB"/>
              </w:rPr>
              <w:t xml:space="preserve"> 201</w:t>
            </w:r>
            <w:r w:rsidR="00F521C7" w:rsidRPr="00B91EC8">
              <w:rPr>
                <w:b/>
                <w:sz w:val="20"/>
                <w:lang w:val="en-GB"/>
              </w:rPr>
              <w:t>2</w:t>
            </w:r>
            <w:r w:rsidR="00604EB5" w:rsidRPr="00B91EC8">
              <w:rPr>
                <w:b/>
                <w:sz w:val="20"/>
                <w:vertAlign w:val="superscript"/>
                <w:lang w:val="en-GB"/>
              </w:rPr>
              <w:t>1</w:t>
            </w:r>
          </w:p>
        </w:tc>
        <w:tc>
          <w:tcPr>
            <w:tcW w:w="1283" w:type="dxa"/>
            <w:tcBorders>
              <w:top w:val="single" w:sz="4" w:space="0" w:color="auto"/>
              <w:bottom w:val="single" w:sz="4" w:space="0" w:color="auto"/>
            </w:tcBorders>
          </w:tcPr>
          <w:p w14:paraId="23A74459" w14:textId="753149DA" w:rsidR="00604EB5" w:rsidRPr="00B91EC8" w:rsidRDefault="00916FDF" w:rsidP="00E65D98">
            <w:pPr>
              <w:spacing w:after="0" w:line="240" w:lineRule="auto"/>
              <w:rPr>
                <w:b/>
                <w:sz w:val="20"/>
                <w:lang w:val="en-GB"/>
              </w:rPr>
            </w:pPr>
            <w:r>
              <w:rPr>
                <w:b/>
                <w:sz w:val="20"/>
                <w:lang w:val="en-GB"/>
              </w:rPr>
              <w:t>Year</w:t>
            </w:r>
            <w:r w:rsidR="00604EB5" w:rsidRPr="00B91EC8">
              <w:rPr>
                <w:b/>
                <w:sz w:val="20"/>
                <w:lang w:val="en-GB"/>
              </w:rPr>
              <w:t xml:space="preserve"> 201</w:t>
            </w:r>
            <w:r w:rsidR="00E65D98" w:rsidRPr="00B91EC8">
              <w:rPr>
                <w:b/>
                <w:sz w:val="20"/>
                <w:lang w:val="en-GB"/>
              </w:rPr>
              <w:t>5</w:t>
            </w:r>
            <w:r w:rsidR="00604EB5" w:rsidRPr="00B91EC8">
              <w:rPr>
                <w:b/>
                <w:sz w:val="20"/>
                <w:vertAlign w:val="superscript"/>
                <w:lang w:val="en-GB"/>
              </w:rPr>
              <w:t>2</w:t>
            </w:r>
          </w:p>
        </w:tc>
      </w:tr>
      <w:tr w:rsidR="00604EB5" w:rsidRPr="00B91EC8" w14:paraId="0EEA8D9A" w14:textId="77777777" w:rsidTr="00B668C1">
        <w:tc>
          <w:tcPr>
            <w:tcW w:w="5211" w:type="dxa"/>
            <w:tcBorders>
              <w:top w:val="single" w:sz="4" w:space="0" w:color="auto"/>
            </w:tcBorders>
          </w:tcPr>
          <w:p w14:paraId="0D4DC886" w14:textId="36F7648D" w:rsidR="00604EB5" w:rsidRPr="00B91EC8" w:rsidRDefault="00916FDF" w:rsidP="00916FDF">
            <w:pPr>
              <w:spacing w:after="0" w:line="240" w:lineRule="auto"/>
              <w:rPr>
                <w:b/>
                <w:sz w:val="20"/>
                <w:lang w:val="en-GB"/>
              </w:rPr>
            </w:pPr>
            <w:r>
              <w:rPr>
                <w:b/>
                <w:sz w:val="20"/>
                <w:lang w:val="en-GB"/>
              </w:rPr>
              <w:t>Number of new CRC cases in the Czech Republic per year (incidence)</w:t>
            </w:r>
          </w:p>
          <w:p w14:paraId="7C12709A" w14:textId="563DD27B" w:rsidR="00604EB5" w:rsidRPr="00B91EC8" w:rsidRDefault="00604EB5" w:rsidP="00916FDF">
            <w:pPr>
              <w:spacing w:after="0" w:line="240" w:lineRule="auto"/>
              <w:jc w:val="both"/>
              <w:rPr>
                <w:sz w:val="20"/>
                <w:lang w:val="en-GB"/>
              </w:rPr>
            </w:pPr>
            <w:r w:rsidRPr="00B91EC8">
              <w:rPr>
                <w:sz w:val="20"/>
                <w:lang w:val="en-GB"/>
              </w:rPr>
              <w:t>(</w:t>
            </w:r>
            <w:r w:rsidR="00916FDF">
              <w:rPr>
                <w:sz w:val="20"/>
                <w:lang w:val="en-GB"/>
              </w:rPr>
              <w:t>absolute numbers</w:t>
            </w:r>
            <w:r w:rsidRPr="00B91EC8">
              <w:rPr>
                <w:sz w:val="20"/>
                <w:lang w:val="en-GB"/>
              </w:rPr>
              <w:t xml:space="preserve"> / </w:t>
            </w:r>
            <w:r w:rsidR="00916FDF">
              <w:rPr>
                <w:sz w:val="20"/>
                <w:lang w:val="en-GB"/>
              </w:rPr>
              <w:t>rate per 100,000 population</w:t>
            </w:r>
            <w:r w:rsidRPr="00B91EC8">
              <w:rPr>
                <w:sz w:val="20"/>
                <w:lang w:val="en-GB"/>
              </w:rPr>
              <w:t>)</w:t>
            </w:r>
          </w:p>
        </w:tc>
        <w:tc>
          <w:tcPr>
            <w:tcW w:w="1488" w:type="dxa"/>
            <w:tcBorders>
              <w:top w:val="single" w:sz="4" w:space="0" w:color="auto"/>
            </w:tcBorders>
          </w:tcPr>
          <w:p w14:paraId="6A76BF6D" w14:textId="76F68895" w:rsidR="00604EB5" w:rsidRPr="00B91EC8" w:rsidRDefault="00F521C7" w:rsidP="00E65D98">
            <w:pPr>
              <w:spacing w:after="0" w:line="240" w:lineRule="auto"/>
              <w:rPr>
                <w:sz w:val="20"/>
                <w:lang w:val="en-GB"/>
              </w:rPr>
            </w:pPr>
            <w:r w:rsidRPr="00B91EC8">
              <w:rPr>
                <w:sz w:val="20"/>
                <w:lang w:val="en-GB"/>
              </w:rPr>
              <w:t>7</w:t>
            </w:r>
            <w:r w:rsidR="00916FDF">
              <w:rPr>
                <w:sz w:val="20"/>
                <w:lang w:val="en-GB"/>
              </w:rPr>
              <w:t>,</w:t>
            </w:r>
            <w:r w:rsidRPr="00B91EC8">
              <w:rPr>
                <w:sz w:val="20"/>
                <w:lang w:val="en-GB"/>
              </w:rPr>
              <w:t>940</w:t>
            </w:r>
            <w:r w:rsidR="00604EB5" w:rsidRPr="00B91EC8">
              <w:rPr>
                <w:sz w:val="20"/>
                <w:lang w:val="en-GB"/>
              </w:rPr>
              <w:t xml:space="preserve"> / 7</w:t>
            </w:r>
            <w:r w:rsidR="00E65D98" w:rsidRPr="00B91EC8">
              <w:rPr>
                <w:sz w:val="20"/>
                <w:lang w:val="en-GB"/>
              </w:rPr>
              <w:t>5</w:t>
            </w:r>
            <w:r w:rsidR="00916FDF">
              <w:rPr>
                <w:sz w:val="20"/>
                <w:lang w:val="en-GB"/>
              </w:rPr>
              <w:t>.</w:t>
            </w:r>
            <w:r w:rsidR="00E65D98" w:rsidRPr="00B91EC8">
              <w:rPr>
                <w:sz w:val="20"/>
                <w:lang w:val="en-GB"/>
              </w:rPr>
              <w:t>55</w:t>
            </w:r>
          </w:p>
        </w:tc>
        <w:tc>
          <w:tcPr>
            <w:tcW w:w="1283" w:type="dxa"/>
            <w:tcBorders>
              <w:top w:val="single" w:sz="4" w:space="0" w:color="auto"/>
            </w:tcBorders>
          </w:tcPr>
          <w:p w14:paraId="689A9F9F" w14:textId="13AB454E" w:rsidR="00604EB5" w:rsidRPr="00B91EC8" w:rsidRDefault="00916FDF" w:rsidP="008C043F">
            <w:pPr>
              <w:spacing w:after="0" w:line="240" w:lineRule="auto"/>
              <w:rPr>
                <w:sz w:val="20"/>
                <w:lang w:val="en-GB"/>
              </w:rPr>
            </w:pPr>
            <w:r>
              <w:rPr>
                <w:sz w:val="20"/>
                <w:lang w:val="en-GB"/>
              </w:rPr>
              <w:t>8,</w:t>
            </w:r>
            <w:r w:rsidR="008C043F" w:rsidRPr="00B91EC8">
              <w:rPr>
                <w:sz w:val="20"/>
                <w:lang w:val="en-GB"/>
              </w:rPr>
              <w:t>578</w:t>
            </w:r>
          </w:p>
        </w:tc>
      </w:tr>
      <w:tr w:rsidR="00604EB5" w:rsidRPr="00B91EC8" w14:paraId="6C5A705D" w14:textId="77777777" w:rsidTr="00B668C1">
        <w:tc>
          <w:tcPr>
            <w:tcW w:w="5211" w:type="dxa"/>
          </w:tcPr>
          <w:p w14:paraId="57470391" w14:textId="5279DF4E" w:rsidR="00604EB5" w:rsidRPr="00B91EC8" w:rsidRDefault="00916FDF" w:rsidP="00916FDF">
            <w:pPr>
              <w:spacing w:after="0" w:line="240" w:lineRule="auto"/>
              <w:rPr>
                <w:b/>
                <w:sz w:val="20"/>
                <w:lang w:val="en-GB"/>
              </w:rPr>
            </w:pPr>
            <w:r>
              <w:rPr>
                <w:b/>
                <w:sz w:val="20"/>
                <w:lang w:val="en-GB"/>
              </w:rPr>
              <w:t>Number of CRC deaths in the Czech Republic per year (mortality)</w:t>
            </w:r>
          </w:p>
          <w:p w14:paraId="5A60BB79" w14:textId="25909C75" w:rsidR="00604EB5" w:rsidRPr="00B91EC8" w:rsidRDefault="00604EB5" w:rsidP="00916FDF">
            <w:pPr>
              <w:spacing w:after="0" w:line="240" w:lineRule="auto"/>
              <w:jc w:val="both"/>
              <w:rPr>
                <w:b/>
                <w:sz w:val="20"/>
                <w:lang w:val="en-GB"/>
              </w:rPr>
            </w:pPr>
            <w:r w:rsidRPr="00B91EC8">
              <w:rPr>
                <w:sz w:val="20"/>
                <w:lang w:val="en-GB"/>
              </w:rPr>
              <w:t>(</w:t>
            </w:r>
            <w:r w:rsidR="00916FDF">
              <w:rPr>
                <w:sz w:val="20"/>
                <w:lang w:val="en-GB"/>
              </w:rPr>
              <w:t>absolute numbers</w:t>
            </w:r>
            <w:r w:rsidRPr="00B91EC8">
              <w:rPr>
                <w:sz w:val="20"/>
                <w:lang w:val="en-GB"/>
              </w:rPr>
              <w:t xml:space="preserve"> / </w:t>
            </w:r>
            <w:r w:rsidR="00916FDF">
              <w:rPr>
                <w:sz w:val="20"/>
                <w:lang w:val="en-GB"/>
              </w:rPr>
              <w:t>rate per 100,000 population</w:t>
            </w:r>
            <w:r w:rsidRPr="00B91EC8">
              <w:rPr>
                <w:sz w:val="20"/>
                <w:lang w:val="en-GB"/>
              </w:rPr>
              <w:t>)</w:t>
            </w:r>
          </w:p>
        </w:tc>
        <w:tc>
          <w:tcPr>
            <w:tcW w:w="1488" w:type="dxa"/>
          </w:tcPr>
          <w:p w14:paraId="4C04FD14" w14:textId="2073A438" w:rsidR="00604EB5" w:rsidRPr="00B91EC8" w:rsidRDefault="00604EB5" w:rsidP="00E65D98">
            <w:pPr>
              <w:spacing w:after="0" w:line="240" w:lineRule="auto"/>
              <w:rPr>
                <w:sz w:val="20"/>
                <w:lang w:val="en-GB"/>
              </w:rPr>
            </w:pPr>
            <w:r w:rsidRPr="00B91EC8">
              <w:rPr>
                <w:sz w:val="20"/>
                <w:lang w:val="en-GB"/>
              </w:rPr>
              <w:t>3</w:t>
            </w:r>
            <w:r w:rsidR="00916FDF">
              <w:rPr>
                <w:sz w:val="20"/>
                <w:lang w:val="en-GB"/>
              </w:rPr>
              <w:t>,</w:t>
            </w:r>
            <w:r w:rsidRPr="00B91EC8">
              <w:rPr>
                <w:sz w:val="20"/>
                <w:lang w:val="en-GB"/>
              </w:rPr>
              <w:t>9</w:t>
            </w:r>
            <w:r w:rsidR="00F521C7" w:rsidRPr="00B91EC8">
              <w:rPr>
                <w:sz w:val="20"/>
                <w:lang w:val="en-GB"/>
              </w:rPr>
              <w:t>38</w:t>
            </w:r>
            <w:r w:rsidR="00916FDF">
              <w:rPr>
                <w:sz w:val="20"/>
                <w:lang w:val="en-GB"/>
              </w:rPr>
              <w:t xml:space="preserve"> / 37.</w:t>
            </w:r>
            <w:r w:rsidR="00E65D98" w:rsidRPr="00B91EC8">
              <w:rPr>
                <w:sz w:val="20"/>
                <w:lang w:val="en-GB"/>
              </w:rPr>
              <w:t>47</w:t>
            </w:r>
          </w:p>
        </w:tc>
        <w:tc>
          <w:tcPr>
            <w:tcW w:w="1283" w:type="dxa"/>
          </w:tcPr>
          <w:p w14:paraId="766DC639" w14:textId="77777777" w:rsidR="00604EB5" w:rsidRPr="00B91EC8" w:rsidRDefault="00604EB5" w:rsidP="00B668C1">
            <w:pPr>
              <w:spacing w:after="0" w:line="240" w:lineRule="auto"/>
              <w:rPr>
                <w:sz w:val="20"/>
                <w:lang w:val="en-GB"/>
              </w:rPr>
            </w:pPr>
            <w:r w:rsidRPr="00B91EC8">
              <w:rPr>
                <w:sz w:val="20"/>
                <w:lang w:val="en-GB"/>
              </w:rPr>
              <w:t>---</w:t>
            </w:r>
          </w:p>
        </w:tc>
      </w:tr>
      <w:tr w:rsidR="00604EB5" w:rsidRPr="00B91EC8" w14:paraId="646995F2" w14:textId="77777777" w:rsidTr="00B668C1">
        <w:tc>
          <w:tcPr>
            <w:tcW w:w="5211" w:type="dxa"/>
            <w:tcBorders>
              <w:bottom w:val="single" w:sz="4" w:space="0" w:color="auto"/>
            </w:tcBorders>
          </w:tcPr>
          <w:p w14:paraId="6495A322" w14:textId="6CD9E97E" w:rsidR="00604EB5" w:rsidRPr="00B91EC8" w:rsidRDefault="00916FDF" w:rsidP="00916FDF">
            <w:pPr>
              <w:spacing w:after="0" w:line="240" w:lineRule="auto"/>
              <w:rPr>
                <w:b/>
                <w:sz w:val="20"/>
                <w:lang w:val="en-GB"/>
              </w:rPr>
            </w:pPr>
            <w:r>
              <w:rPr>
                <w:b/>
                <w:sz w:val="20"/>
                <w:lang w:val="en-GB"/>
              </w:rPr>
              <w:t>Number of living persons with CRC in their medical history (prevalence)</w:t>
            </w:r>
          </w:p>
        </w:tc>
        <w:tc>
          <w:tcPr>
            <w:tcW w:w="1488" w:type="dxa"/>
            <w:tcBorders>
              <w:bottom w:val="single" w:sz="4" w:space="0" w:color="auto"/>
            </w:tcBorders>
          </w:tcPr>
          <w:p w14:paraId="5BA03939" w14:textId="4DB45FB5" w:rsidR="00604EB5" w:rsidRPr="00B91EC8" w:rsidRDefault="00604EB5" w:rsidP="00EF14DE">
            <w:pPr>
              <w:spacing w:after="0" w:line="240" w:lineRule="auto"/>
              <w:rPr>
                <w:sz w:val="20"/>
                <w:lang w:val="en-GB"/>
              </w:rPr>
            </w:pPr>
            <w:r w:rsidRPr="00B91EC8">
              <w:rPr>
                <w:sz w:val="20"/>
                <w:lang w:val="en-GB"/>
              </w:rPr>
              <w:t>5</w:t>
            </w:r>
            <w:r w:rsidR="00EF14DE" w:rsidRPr="00B91EC8">
              <w:rPr>
                <w:sz w:val="20"/>
                <w:lang w:val="en-GB"/>
              </w:rPr>
              <w:t>3</w:t>
            </w:r>
            <w:r w:rsidR="00916FDF">
              <w:rPr>
                <w:sz w:val="20"/>
                <w:lang w:val="en-GB"/>
              </w:rPr>
              <w:t>,</w:t>
            </w:r>
            <w:r w:rsidR="00EF14DE" w:rsidRPr="00B91EC8">
              <w:rPr>
                <w:sz w:val="20"/>
                <w:lang w:val="en-GB"/>
              </w:rPr>
              <w:t>701</w:t>
            </w:r>
          </w:p>
        </w:tc>
        <w:tc>
          <w:tcPr>
            <w:tcW w:w="1283" w:type="dxa"/>
            <w:tcBorders>
              <w:bottom w:val="single" w:sz="4" w:space="0" w:color="auto"/>
            </w:tcBorders>
          </w:tcPr>
          <w:p w14:paraId="2CC032CC" w14:textId="73C59762" w:rsidR="00604EB5" w:rsidRPr="00B91EC8" w:rsidRDefault="008C043F" w:rsidP="008C043F">
            <w:pPr>
              <w:spacing w:after="0" w:line="240" w:lineRule="auto"/>
              <w:rPr>
                <w:sz w:val="20"/>
                <w:lang w:val="en-GB"/>
              </w:rPr>
            </w:pPr>
            <w:r w:rsidRPr="00B91EC8">
              <w:rPr>
                <w:sz w:val="20"/>
                <w:lang w:val="en-GB"/>
              </w:rPr>
              <w:t>65</w:t>
            </w:r>
            <w:r w:rsidR="00916FDF">
              <w:rPr>
                <w:sz w:val="20"/>
                <w:lang w:val="en-GB"/>
              </w:rPr>
              <w:t>,</w:t>
            </w:r>
            <w:r w:rsidRPr="00B91EC8">
              <w:rPr>
                <w:sz w:val="20"/>
                <w:lang w:val="en-GB"/>
              </w:rPr>
              <w:t>810</w:t>
            </w:r>
          </w:p>
        </w:tc>
      </w:tr>
    </w:tbl>
    <w:p w14:paraId="47EEB050" w14:textId="53E6C18B" w:rsidR="00916FDF" w:rsidRDefault="00604EB5" w:rsidP="00604EB5">
      <w:pPr>
        <w:rPr>
          <w:sz w:val="18"/>
          <w:szCs w:val="18"/>
          <w:lang w:val="en-GB"/>
        </w:rPr>
      </w:pPr>
      <w:r w:rsidRPr="00B91EC8">
        <w:rPr>
          <w:sz w:val="18"/>
          <w:szCs w:val="18"/>
          <w:vertAlign w:val="superscript"/>
          <w:lang w:val="en-GB"/>
        </w:rPr>
        <w:t>1</w:t>
      </w:r>
      <w:r w:rsidRPr="00B91EC8">
        <w:rPr>
          <w:sz w:val="18"/>
          <w:szCs w:val="18"/>
          <w:lang w:val="en-GB"/>
        </w:rPr>
        <w:t xml:space="preserve"> </w:t>
      </w:r>
      <w:r w:rsidR="00916FDF">
        <w:rPr>
          <w:sz w:val="18"/>
          <w:szCs w:val="18"/>
          <w:lang w:val="en-GB"/>
        </w:rPr>
        <w:t>Source of data</w:t>
      </w:r>
      <w:r w:rsidRPr="00B91EC8">
        <w:rPr>
          <w:sz w:val="18"/>
          <w:szCs w:val="18"/>
          <w:lang w:val="en-GB"/>
        </w:rPr>
        <w:t xml:space="preserve">: </w:t>
      </w:r>
      <w:r w:rsidR="00916FDF">
        <w:rPr>
          <w:sz w:val="18"/>
          <w:szCs w:val="18"/>
          <w:lang w:val="en-GB"/>
        </w:rPr>
        <w:t>Czech National Cancer Registry</w:t>
      </w:r>
      <w:r w:rsidRPr="00B91EC8">
        <w:rPr>
          <w:sz w:val="18"/>
          <w:szCs w:val="18"/>
          <w:lang w:val="en-GB"/>
        </w:rPr>
        <w:t>, www.svod.cz</w:t>
      </w:r>
      <w:r w:rsidRPr="00B91EC8">
        <w:rPr>
          <w:sz w:val="18"/>
          <w:szCs w:val="18"/>
          <w:lang w:val="en-GB"/>
        </w:rPr>
        <w:br/>
      </w:r>
      <w:r w:rsidRPr="00B91EC8">
        <w:rPr>
          <w:sz w:val="18"/>
          <w:szCs w:val="18"/>
          <w:vertAlign w:val="superscript"/>
          <w:lang w:val="en-GB"/>
        </w:rPr>
        <w:t xml:space="preserve">2 </w:t>
      </w:r>
      <w:r w:rsidR="00916FDF">
        <w:rPr>
          <w:sz w:val="18"/>
          <w:szCs w:val="18"/>
          <w:lang w:val="en-GB"/>
        </w:rPr>
        <w:t>Source of data</w:t>
      </w:r>
      <w:r w:rsidRPr="00B91EC8">
        <w:rPr>
          <w:sz w:val="18"/>
          <w:szCs w:val="18"/>
          <w:lang w:val="en-GB"/>
        </w:rPr>
        <w:t xml:space="preserve">: </w:t>
      </w:r>
      <w:r w:rsidR="00F431A4">
        <w:rPr>
          <w:sz w:val="18"/>
          <w:szCs w:val="18"/>
          <w:lang w:val="en-GB"/>
        </w:rPr>
        <w:t xml:space="preserve">Predicted </w:t>
      </w:r>
      <w:r w:rsidR="00916FDF">
        <w:rPr>
          <w:sz w:val="18"/>
          <w:szCs w:val="18"/>
          <w:lang w:val="en-GB"/>
        </w:rPr>
        <w:t>number</w:t>
      </w:r>
      <w:r w:rsidR="00F431A4">
        <w:rPr>
          <w:sz w:val="18"/>
          <w:szCs w:val="18"/>
          <w:lang w:val="en-GB"/>
        </w:rPr>
        <w:t>s</w:t>
      </w:r>
      <w:r w:rsidR="00916FDF">
        <w:rPr>
          <w:sz w:val="18"/>
          <w:szCs w:val="18"/>
          <w:lang w:val="en-GB"/>
        </w:rPr>
        <w:t xml:space="preserve"> of cancer patients by the Czech Society for Oncology</w:t>
      </w:r>
    </w:p>
    <w:p w14:paraId="44AC0159" w14:textId="5209A41E" w:rsidR="00853D5C" w:rsidRPr="00F956C6" w:rsidRDefault="00D3584C" w:rsidP="00763509">
      <w:pPr>
        <w:rPr>
          <w:lang w:val="en-GB"/>
        </w:rPr>
      </w:pPr>
      <w:r w:rsidRPr="00D3584C">
        <w:rPr>
          <w:lang w:val="en-GB"/>
        </w:rPr>
        <w:t xml:space="preserve">The Czech National Cancer Registry makes it possible to analyse long-term trends in cancer incidence and mortality rates (Figure 2). </w:t>
      </w:r>
      <w:r w:rsidR="00D30ECF">
        <w:rPr>
          <w:lang w:val="en-GB"/>
        </w:rPr>
        <w:t>A</w:t>
      </w:r>
      <w:r w:rsidR="00390DB1">
        <w:rPr>
          <w:lang w:val="en-GB"/>
        </w:rPr>
        <w:t xml:space="preserve"> s</w:t>
      </w:r>
      <w:r w:rsidRPr="00D3584C">
        <w:rPr>
          <w:lang w:val="en-GB"/>
        </w:rPr>
        <w:t>tabilisation of</w:t>
      </w:r>
      <w:r w:rsidR="00390DB1">
        <w:rPr>
          <w:lang w:val="en-GB"/>
        </w:rPr>
        <w:t xml:space="preserve"> CRC</w:t>
      </w:r>
      <w:r w:rsidRPr="00D3584C">
        <w:rPr>
          <w:lang w:val="en-GB"/>
        </w:rPr>
        <w:t xml:space="preserve"> incidence rates and a slight decrease in </w:t>
      </w:r>
      <w:r w:rsidR="00390DB1">
        <w:rPr>
          <w:lang w:val="en-GB"/>
        </w:rPr>
        <w:t xml:space="preserve">CRC </w:t>
      </w:r>
      <w:r w:rsidRPr="00D3584C">
        <w:rPr>
          <w:lang w:val="en-GB"/>
        </w:rPr>
        <w:t>mortality rates ha</w:t>
      </w:r>
      <w:r w:rsidR="00D30ECF">
        <w:rPr>
          <w:lang w:val="en-GB"/>
        </w:rPr>
        <w:t>ve</w:t>
      </w:r>
      <w:r w:rsidRPr="00D3584C">
        <w:rPr>
          <w:lang w:val="en-GB"/>
        </w:rPr>
        <w:t xml:space="preserve"> been observed over the last few years. Although this trend can be considered as positive, the widening gap between incidence and mortality curves </w:t>
      </w:r>
      <w:r w:rsidR="005675B5">
        <w:rPr>
          <w:lang w:val="en-GB"/>
        </w:rPr>
        <w:t xml:space="preserve">has inevitably led </w:t>
      </w:r>
      <w:r w:rsidRPr="00D3584C">
        <w:rPr>
          <w:lang w:val="en-GB"/>
        </w:rPr>
        <w:t xml:space="preserve">to a considerable increase in prevalence, i.e. the number of </w:t>
      </w:r>
      <w:r w:rsidR="00D30ECF">
        <w:rPr>
          <w:lang w:val="en-GB"/>
        </w:rPr>
        <w:t>patients alive</w:t>
      </w:r>
      <w:r w:rsidRPr="00D3584C">
        <w:rPr>
          <w:lang w:val="en-GB"/>
        </w:rPr>
        <w:t xml:space="preserve"> who have had colorectal cancer in their medical history. In 2012 in the Czech Republic, there were almost 54,000 patients with CRC in their medical history, and a significant rise of this number is expected in the years to come (Table 2). The overall epidemiological burden of the Czech population is further aggravated by the occurrence of colorectal cancer as </w:t>
      </w:r>
      <w:r w:rsidR="008D0732">
        <w:rPr>
          <w:lang w:val="en-GB"/>
        </w:rPr>
        <w:t xml:space="preserve">a </w:t>
      </w:r>
      <w:r w:rsidRPr="00D3584C">
        <w:rPr>
          <w:lang w:val="en-GB"/>
        </w:rPr>
        <w:t>subsequent (second</w:t>
      </w:r>
      <w:r w:rsidR="008D0732">
        <w:rPr>
          <w:lang w:val="en-GB"/>
        </w:rPr>
        <w:t>, or even third) primary cancer</w:t>
      </w:r>
      <w:r w:rsidRPr="00D3584C">
        <w:rPr>
          <w:lang w:val="en-GB"/>
        </w:rPr>
        <w:t xml:space="preserve"> in the same patient; in other words, colorectal cancers are diagnosed in patients who were treated for another type of cancer in the past. Both of the above-mentioned facts – the increasing CRC prevalence, and the occurrence of subsequent primary cancers – mean that there is an ever increasing pressure on cancer care facilities, which of course must provide care to these patients as well, and on the entire health care system, which pays for their treatment.</w:t>
      </w:r>
    </w:p>
    <w:p w14:paraId="15BC7F16" w14:textId="77777777" w:rsidR="00565867" w:rsidRPr="00B91EC8" w:rsidRDefault="00565867" w:rsidP="00763509">
      <w:pPr>
        <w:rPr>
          <w:i/>
          <w:lang w:val="en-GB"/>
        </w:rPr>
      </w:pPr>
    </w:p>
    <w:p w14:paraId="4C486170" w14:textId="4AD95889" w:rsidR="00F956C6" w:rsidRDefault="00F956C6" w:rsidP="00763509">
      <w:pPr>
        <w:rPr>
          <w:i/>
          <w:lang w:val="en-GB"/>
        </w:rPr>
      </w:pPr>
      <w:r>
        <w:rPr>
          <w:i/>
          <w:lang w:val="en-GB"/>
        </w:rPr>
        <w:t>Figure</w:t>
      </w:r>
      <w:r w:rsidR="00763509" w:rsidRPr="00B91EC8">
        <w:rPr>
          <w:i/>
          <w:lang w:val="en-GB"/>
        </w:rPr>
        <w:t xml:space="preserve"> 2: </w:t>
      </w:r>
      <w:r w:rsidRPr="00F956C6">
        <w:rPr>
          <w:lang w:val="en-GB"/>
        </w:rPr>
        <w:t>Long-term time trends in incidence and mortality rates for colorectal cancer in the Czech Republic.</w:t>
      </w:r>
      <w:r>
        <w:rPr>
          <w:i/>
          <w:lang w:val="en-GB"/>
        </w:rPr>
        <w:t xml:space="preserve"> Source of data: </w:t>
      </w:r>
      <w:r w:rsidRPr="00F956C6">
        <w:rPr>
          <w:lang w:val="en-GB"/>
        </w:rPr>
        <w:t>Czech National Cancer Registry, www.svod.cz</w:t>
      </w:r>
    </w:p>
    <w:p w14:paraId="4F371CFA" w14:textId="77777777" w:rsidR="00763509" w:rsidRPr="00B91EC8" w:rsidRDefault="007B62EE" w:rsidP="00763509">
      <w:pPr>
        <w:rPr>
          <w:lang w:val="en-GB"/>
        </w:rPr>
      </w:pPr>
      <w:r w:rsidRPr="00B91EC8">
        <w:rPr>
          <w:noProof/>
          <w:lang w:val="en-US"/>
        </w:rPr>
        <w:lastRenderedPageBreak/>
        <w:drawing>
          <wp:inline distT="0" distB="0" distL="0" distR="0" wp14:anchorId="0F984884" wp14:editId="24E97304">
            <wp:extent cx="5005379" cy="3603600"/>
            <wp:effectExtent l="0" t="0" r="0" b="381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005379" cy="3603600"/>
                    </a:xfrm>
                    <a:prstGeom prst="rect">
                      <a:avLst/>
                    </a:prstGeom>
                    <a:noFill/>
                  </pic:spPr>
                </pic:pic>
              </a:graphicData>
            </a:graphic>
          </wp:inline>
        </w:drawing>
      </w:r>
    </w:p>
    <w:p w14:paraId="5E45CF7F" w14:textId="328478D6" w:rsidR="007B3BFF" w:rsidRDefault="007B3BFF" w:rsidP="007B3AAE">
      <w:pPr>
        <w:pStyle w:val="Heading2"/>
        <w:rPr>
          <w:lang w:val="en-GB"/>
        </w:rPr>
      </w:pPr>
      <w:r w:rsidRPr="007B3BFF">
        <w:rPr>
          <w:lang w:val="en-GB"/>
        </w:rPr>
        <w:t>Late diagnosis = lower chance of cure</w:t>
      </w:r>
    </w:p>
    <w:p w14:paraId="3974FA1F" w14:textId="5D530B6A" w:rsidR="003951F7" w:rsidRDefault="007B3BFF">
      <w:pPr>
        <w:rPr>
          <w:lang w:val="en-GB"/>
        </w:rPr>
      </w:pPr>
      <w:r w:rsidRPr="007B3BFF">
        <w:rPr>
          <w:lang w:val="en-GB"/>
        </w:rPr>
        <w:t xml:space="preserve">It is widely known that a cancer diagnosed at an early stage (or even at the stage of precancerous changes) is much more likely to be treated successfully, and that the chance of survival in such cases is much higher. Available population-based data on colorectal cancer epidemiology in the Czech Republic, however, describes a rather gloomy situation. </w:t>
      </w:r>
      <w:r w:rsidRPr="007B3BFF">
        <w:rPr>
          <w:b/>
          <w:u w:val="single"/>
          <w:lang w:val="en-GB"/>
        </w:rPr>
        <w:t>Figure 3</w:t>
      </w:r>
      <w:r w:rsidRPr="007B3BFF">
        <w:rPr>
          <w:lang w:val="en-GB"/>
        </w:rPr>
        <w:t xml:space="preserve"> shows that more than 50% of new colorectal cancer patients in the Czech Republic are diagnosed with tumours in clinical stages III or IV. Moreover, the situation has not much improved over time: the latest available data from 2012 has not shown any positive trend. This inevitably leads to markedly poorer treatment results, let alone related costs, which are very high in patients with advanced cancers.</w:t>
      </w:r>
    </w:p>
    <w:p w14:paraId="5DAB2F12" w14:textId="4F43A8BC" w:rsidR="00F62744" w:rsidRPr="00B91EC8" w:rsidRDefault="00F62744">
      <w:pPr>
        <w:rPr>
          <w:lang w:val="en-GB"/>
        </w:rPr>
      </w:pPr>
      <w:r w:rsidRPr="00F62744">
        <w:rPr>
          <w:lang w:val="en-GB"/>
        </w:rPr>
        <w:t>Despite the above-mentioned facts, recent studies have suggested that cancer treatment in the Czech Republic is nowadays much more successful than before. The 5-year relative survival (i.e., the percentage of patients with a disease that are alive five years after their disease is diagnosed, related to the general population without that disease) is a standard benchmark of treatment success. Analysis of data from the Czech National Cancer Registry, performed by the Institute of Biostatistics and Analyses of the Masaryk University, has confirmed that survival rates of Czech CRC patients have improved; on the other hand, there are still huge differences in the chances of survival between patients who were diagnosed at an early stages of the disease and those who were diagnosed at advanced stages (</w:t>
      </w:r>
      <w:r w:rsidRPr="00F62744">
        <w:rPr>
          <w:b/>
          <w:u w:val="single"/>
          <w:lang w:val="en-GB"/>
        </w:rPr>
        <w:t>Table 3</w:t>
      </w:r>
      <w:r w:rsidRPr="00F62744">
        <w:rPr>
          <w:lang w:val="en-GB"/>
        </w:rPr>
        <w:t>). These numbers clearly demonstrate how important it is to detect cancers at early stages, when there is a real chance of cure.</w:t>
      </w:r>
    </w:p>
    <w:p w14:paraId="05DBC4B6" w14:textId="77777777" w:rsidR="00853D5C" w:rsidRPr="00B91EC8" w:rsidRDefault="00853D5C">
      <w:pPr>
        <w:rPr>
          <w:lang w:val="en-GB"/>
        </w:rPr>
      </w:pPr>
    </w:p>
    <w:p w14:paraId="5B162FD7" w14:textId="684C902C" w:rsidR="00324B76" w:rsidRPr="00B91EC8" w:rsidRDefault="00F956C6" w:rsidP="00324B76">
      <w:pPr>
        <w:rPr>
          <w:i/>
          <w:lang w:val="en-GB"/>
        </w:rPr>
      </w:pPr>
      <w:r>
        <w:rPr>
          <w:i/>
          <w:lang w:val="en-GB"/>
        </w:rPr>
        <w:t>Figure</w:t>
      </w:r>
      <w:r w:rsidR="00324B76" w:rsidRPr="00B91EC8">
        <w:rPr>
          <w:i/>
          <w:lang w:val="en-GB"/>
        </w:rPr>
        <w:t xml:space="preserve"> 3: </w:t>
      </w:r>
      <w:r w:rsidRPr="00F956C6">
        <w:rPr>
          <w:lang w:val="en-GB"/>
        </w:rPr>
        <w:t>Proportion of clinical stages of CRC at the time of diagnosis.</w:t>
      </w:r>
      <w:r>
        <w:rPr>
          <w:i/>
          <w:lang w:val="en-GB"/>
        </w:rPr>
        <w:t xml:space="preserve"> Source of data: </w:t>
      </w:r>
      <w:r w:rsidRPr="00F956C6">
        <w:rPr>
          <w:lang w:val="en-GB"/>
        </w:rPr>
        <w:t>Czech National Cancer Registry, www.svod.cz</w:t>
      </w:r>
    </w:p>
    <w:p w14:paraId="7D362E02" w14:textId="77777777" w:rsidR="00324B76" w:rsidRPr="00B91EC8" w:rsidRDefault="00130C84" w:rsidP="00324B76">
      <w:pPr>
        <w:rPr>
          <w:lang w:val="en-GB"/>
        </w:rPr>
      </w:pPr>
      <w:r w:rsidRPr="00B91EC8">
        <w:rPr>
          <w:noProof/>
          <w:lang w:val="en-US"/>
        </w:rPr>
        <w:lastRenderedPageBreak/>
        <w:drawing>
          <wp:inline distT="0" distB="0" distL="0" distR="0" wp14:anchorId="2C743E2B" wp14:editId="0CDDE7D9">
            <wp:extent cx="5040000" cy="3585503"/>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040000" cy="3585503"/>
                    </a:xfrm>
                    <a:prstGeom prst="rect">
                      <a:avLst/>
                    </a:prstGeom>
                    <a:noFill/>
                  </pic:spPr>
                </pic:pic>
              </a:graphicData>
            </a:graphic>
          </wp:inline>
        </w:drawing>
      </w:r>
    </w:p>
    <w:p w14:paraId="228FF9F1" w14:textId="44C7714D" w:rsidR="00324B76" w:rsidRPr="00F956C6" w:rsidRDefault="00F956C6" w:rsidP="00324B76">
      <w:pPr>
        <w:rPr>
          <w:lang w:val="en-GB"/>
        </w:rPr>
      </w:pPr>
      <w:r>
        <w:rPr>
          <w:i/>
          <w:lang w:val="en-GB"/>
        </w:rPr>
        <w:t>Table</w:t>
      </w:r>
      <w:r w:rsidR="00324B76" w:rsidRPr="00B91EC8">
        <w:rPr>
          <w:i/>
          <w:lang w:val="en-GB"/>
        </w:rPr>
        <w:t xml:space="preserve"> 3: </w:t>
      </w:r>
      <w:r>
        <w:rPr>
          <w:lang w:val="en-GB"/>
        </w:rPr>
        <w:t xml:space="preserve">Five-year relative survival of treated CRC patients according to data from the Czech National Cancer Registry in the periods </w:t>
      </w:r>
      <w:r w:rsidRPr="00F956C6">
        <w:rPr>
          <w:lang w:val="en-GB"/>
        </w:rPr>
        <w:t>2000–2003, 2004–2007</w:t>
      </w:r>
      <w:r>
        <w:rPr>
          <w:lang w:val="en-GB"/>
        </w:rPr>
        <w:t>,</w:t>
      </w:r>
      <w:r w:rsidRPr="00F956C6">
        <w:rPr>
          <w:lang w:val="en-GB"/>
        </w:rPr>
        <w:t xml:space="preserve"> a</w:t>
      </w:r>
      <w:r>
        <w:rPr>
          <w:lang w:val="en-GB"/>
        </w:rPr>
        <w:t>nd</w:t>
      </w:r>
      <w:r w:rsidRPr="00F956C6">
        <w:rPr>
          <w:lang w:val="en-GB"/>
        </w:rPr>
        <w:t xml:space="preserve"> 2008–2011</w:t>
      </w:r>
      <w:r>
        <w:rPr>
          <w:lang w:val="en-GB"/>
        </w:rPr>
        <w:t xml:space="preserve">. </w:t>
      </w:r>
      <w:r>
        <w:rPr>
          <w:i/>
          <w:lang w:val="en-GB"/>
        </w:rPr>
        <w:t>Source of data:</w:t>
      </w:r>
      <w:r>
        <w:rPr>
          <w:lang w:val="en-GB"/>
        </w:rPr>
        <w:t xml:space="preserve"> Czech National Cancer Registry, Institute of Biostatistics and Analyses of the Masaryk University (IBA MU)</w:t>
      </w:r>
    </w:p>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1"/>
        <w:gridCol w:w="2408"/>
        <w:gridCol w:w="2408"/>
        <w:gridCol w:w="2409"/>
      </w:tblGrid>
      <w:tr w:rsidR="00324B76" w:rsidRPr="00B91EC8" w14:paraId="214DCDE2" w14:textId="77777777" w:rsidTr="00C451F1">
        <w:tc>
          <w:tcPr>
            <w:tcW w:w="2061" w:type="dxa"/>
            <w:tcBorders>
              <w:top w:val="single" w:sz="4" w:space="0" w:color="auto"/>
              <w:bottom w:val="single" w:sz="4" w:space="0" w:color="auto"/>
            </w:tcBorders>
          </w:tcPr>
          <w:p w14:paraId="087445BB" w14:textId="77777777" w:rsidR="00324B76" w:rsidRPr="00B91EC8" w:rsidRDefault="00324B76" w:rsidP="00B668C1">
            <w:pPr>
              <w:rPr>
                <w:sz w:val="20"/>
                <w:lang w:val="en-GB"/>
              </w:rPr>
            </w:pPr>
          </w:p>
        </w:tc>
        <w:tc>
          <w:tcPr>
            <w:tcW w:w="2408" w:type="dxa"/>
            <w:tcBorders>
              <w:top w:val="single" w:sz="4" w:space="0" w:color="auto"/>
              <w:bottom w:val="single" w:sz="4" w:space="0" w:color="auto"/>
            </w:tcBorders>
          </w:tcPr>
          <w:p w14:paraId="6FA3CCBB" w14:textId="4DE05170" w:rsidR="00324B76" w:rsidRPr="00B91EC8" w:rsidRDefault="00324B76" w:rsidP="00F956C6">
            <w:pPr>
              <w:jc w:val="center"/>
              <w:rPr>
                <w:b/>
                <w:sz w:val="20"/>
                <w:lang w:val="en-GB"/>
              </w:rPr>
            </w:pPr>
            <w:r w:rsidRPr="00B91EC8">
              <w:rPr>
                <w:b/>
                <w:sz w:val="20"/>
                <w:lang w:val="en-GB"/>
              </w:rPr>
              <w:t>5</w:t>
            </w:r>
            <w:r w:rsidR="00F956C6">
              <w:rPr>
                <w:b/>
                <w:sz w:val="20"/>
                <w:lang w:val="en-GB"/>
              </w:rPr>
              <w:t xml:space="preserve">-year relative survival in the period </w:t>
            </w:r>
            <w:r w:rsidRPr="00B91EC8">
              <w:rPr>
                <w:b/>
                <w:sz w:val="20"/>
                <w:lang w:val="en-GB"/>
              </w:rPr>
              <w:t>2000–200</w:t>
            </w:r>
            <w:r w:rsidR="005C7213" w:rsidRPr="00B91EC8">
              <w:rPr>
                <w:b/>
                <w:sz w:val="20"/>
                <w:lang w:val="en-GB"/>
              </w:rPr>
              <w:t>3</w:t>
            </w:r>
            <w:r w:rsidR="00C451F1" w:rsidRPr="00B91EC8">
              <w:rPr>
                <w:b/>
                <w:sz w:val="20"/>
                <w:lang w:val="en-GB"/>
              </w:rPr>
              <w:t xml:space="preserve"> </w:t>
            </w:r>
            <w:r w:rsidRPr="00B91EC8">
              <w:rPr>
                <w:b/>
                <w:sz w:val="20"/>
                <w:lang w:val="en-GB"/>
              </w:rPr>
              <w:t>(%)</w:t>
            </w:r>
          </w:p>
        </w:tc>
        <w:tc>
          <w:tcPr>
            <w:tcW w:w="2408" w:type="dxa"/>
            <w:tcBorders>
              <w:top w:val="single" w:sz="4" w:space="0" w:color="auto"/>
              <w:bottom w:val="single" w:sz="4" w:space="0" w:color="auto"/>
            </w:tcBorders>
          </w:tcPr>
          <w:p w14:paraId="79F20BCE" w14:textId="236DCF87" w:rsidR="00324B76" w:rsidRPr="00B91EC8" w:rsidRDefault="00F956C6" w:rsidP="00F956C6">
            <w:pPr>
              <w:jc w:val="center"/>
              <w:rPr>
                <w:b/>
                <w:sz w:val="20"/>
                <w:lang w:val="en-GB"/>
              </w:rPr>
            </w:pPr>
            <w:r w:rsidRPr="00B91EC8">
              <w:rPr>
                <w:b/>
                <w:sz w:val="20"/>
                <w:lang w:val="en-GB"/>
              </w:rPr>
              <w:t>5</w:t>
            </w:r>
            <w:r>
              <w:rPr>
                <w:b/>
                <w:sz w:val="20"/>
                <w:lang w:val="en-GB"/>
              </w:rPr>
              <w:t>-year relative survival in the period</w:t>
            </w:r>
            <w:r w:rsidR="00324B76" w:rsidRPr="00B91EC8">
              <w:rPr>
                <w:b/>
                <w:sz w:val="20"/>
                <w:lang w:val="en-GB"/>
              </w:rPr>
              <w:t xml:space="preserve"> 200</w:t>
            </w:r>
            <w:r w:rsidR="005C7213" w:rsidRPr="00B91EC8">
              <w:rPr>
                <w:b/>
                <w:sz w:val="20"/>
                <w:lang w:val="en-GB"/>
              </w:rPr>
              <w:t>4</w:t>
            </w:r>
            <w:r w:rsidR="00324B76" w:rsidRPr="00B91EC8">
              <w:rPr>
                <w:b/>
                <w:sz w:val="20"/>
                <w:lang w:val="en-GB"/>
              </w:rPr>
              <w:t>–200</w:t>
            </w:r>
            <w:r w:rsidR="005C7213" w:rsidRPr="00B91EC8">
              <w:rPr>
                <w:b/>
                <w:sz w:val="20"/>
                <w:lang w:val="en-GB"/>
              </w:rPr>
              <w:t>7</w:t>
            </w:r>
            <w:r w:rsidR="00324B76" w:rsidRPr="00B91EC8">
              <w:rPr>
                <w:b/>
                <w:sz w:val="20"/>
                <w:lang w:val="en-GB"/>
              </w:rPr>
              <w:t xml:space="preserve"> (%)</w:t>
            </w:r>
          </w:p>
        </w:tc>
        <w:tc>
          <w:tcPr>
            <w:tcW w:w="2409" w:type="dxa"/>
            <w:tcBorders>
              <w:top w:val="single" w:sz="4" w:space="0" w:color="auto"/>
              <w:bottom w:val="single" w:sz="4" w:space="0" w:color="auto"/>
            </w:tcBorders>
          </w:tcPr>
          <w:p w14:paraId="55BBD100" w14:textId="2E4D534A" w:rsidR="00324B76" w:rsidRPr="00B91EC8" w:rsidRDefault="00F956C6" w:rsidP="00B8710D">
            <w:pPr>
              <w:jc w:val="center"/>
              <w:rPr>
                <w:b/>
                <w:sz w:val="20"/>
                <w:lang w:val="en-GB"/>
              </w:rPr>
            </w:pPr>
            <w:r w:rsidRPr="00B91EC8">
              <w:rPr>
                <w:b/>
                <w:sz w:val="20"/>
                <w:lang w:val="en-GB"/>
              </w:rPr>
              <w:t>5</w:t>
            </w:r>
            <w:r>
              <w:rPr>
                <w:b/>
                <w:sz w:val="20"/>
                <w:lang w:val="en-GB"/>
              </w:rPr>
              <w:t>-year relative survival in the period</w:t>
            </w:r>
            <w:r w:rsidR="00C451F1" w:rsidRPr="00B91EC8">
              <w:rPr>
                <w:b/>
                <w:sz w:val="20"/>
                <w:lang w:val="en-GB"/>
              </w:rPr>
              <w:t xml:space="preserve"> 2008–2011 (%)</w:t>
            </w:r>
          </w:p>
        </w:tc>
      </w:tr>
      <w:tr w:rsidR="00324B76" w:rsidRPr="00B91EC8" w14:paraId="23173F12" w14:textId="77777777" w:rsidTr="00C451F1">
        <w:tc>
          <w:tcPr>
            <w:tcW w:w="2061" w:type="dxa"/>
            <w:tcBorders>
              <w:top w:val="single" w:sz="4" w:space="0" w:color="auto"/>
            </w:tcBorders>
          </w:tcPr>
          <w:p w14:paraId="40E02B9F" w14:textId="187455C1" w:rsidR="00324B76" w:rsidRPr="00B91EC8" w:rsidRDefault="00137974" w:rsidP="00B668C1">
            <w:pPr>
              <w:rPr>
                <w:b/>
                <w:sz w:val="20"/>
                <w:lang w:val="en-GB"/>
              </w:rPr>
            </w:pPr>
            <w:r>
              <w:rPr>
                <w:b/>
                <w:sz w:val="20"/>
                <w:lang w:val="en-GB"/>
              </w:rPr>
              <w:t>Clinical stage</w:t>
            </w:r>
            <w:r w:rsidR="00324B76" w:rsidRPr="00B91EC8">
              <w:rPr>
                <w:b/>
                <w:sz w:val="20"/>
                <w:lang w:val="en-GB"/>
              </w:rPr>
              <w:t xml:space="preserve"> I</w:t>
            </w:r>
          </w:p>
        </w:tc>
        <w:tc>
          <w:tcPr>
            <w:tcW w:w="2408" w:type="dxa"/>
            <w:tcBorders>
              <w:top w:val="single" w:sz="4" w:space="0" w:color="auto"/>
            </w:tcBorders>
            <w:vAlign w:val="center"/>
          </w:tcPr>
          <w:p w14:paraId="72F64867" w14:textId="4D8D7852" w:rsidR="00324B76" w:rsidRPr="00B91EC8" w:rsidRDefault="00137974" w:rsidP="00B668C1">
            <w:pPr>
              <w:jc w:val="center"/>
              <w:rPr>
                <w:sz w:val="20"/>
                <w:lang w:val="en-GB"/>
              </w:rPr>
            </w:pPr>
            <w:r>
              <w:rPr>
                <w:sz w:val="20"/>
                <w:lang w:val="en-GB"/>
              </w:rPr>
              <w:t>80.</w:t>
            </w:r>
            <w:r w:rsidR="00C451F1" w:rsidRPr="00B91EC8">
              <w:rPr>
                <w:sz w:val="20"/>
                <w:lang w:val="en-GB"/>
              </w:rPr>
              <w:t>2</w:t>
            </w:r>
          </w:p>
        </w:tc>
        <w:tc>
          <w:tcPr>
            <w:tcW w:w="2408" w:type="dxa"/>
            <w:tcBorders>
              <w:top w:val="single" w:sz="4" w:space="0" w:color="auto"/>
            </w:tcBorders>
            <w:vAlign w:val="center"/>
          </w:tcPr>
          <w:p w14:paraId="6D4488DB" w14:textId="4CABFB13" w:rsidR="00324B76" w:rsidRPr="00B91EC8" w:rsidRDefault="00137974" w:rsidP="00B668C1">
            <w:pPr>
              <w:jc w:val="center"/>
              <w:rPr>
                <w:sz w:val="20"/>
                <w:lang w:val="en-GB"/>
              </w:rPr>
            </w:pPr>
            <w:r>
              <w:rPr>
                <w:sz w:val="20"/>
                <w:lang w:val="en-GB"/>
              </w:rPr>
              <w:t>85.</w:t>
            </w:r>
            <w:r w:rsidR="00C451F1" w:rsidRPr="00B91EC8">
              <w:rPr>
                <w:sz w:val="20"/>
                <w:lang w:val="en-GB"/>
              </w:rPr>
              <w:t>4</w:t>
            </w:r>
          </w:p>
        </w:tc>
        <w:tc>
          <w:tcPr>
            <w:tcW w:w="2409" w:type="dxa"/>
            <w:tcBorders>
              <w:top w:val="single" w:sz="4" w:space="0" w:color="auto"/>
            </w:tcBorders>
            <w:vAlign w:val="center"/>
          </w:tcPr>
          <w:p w14:paraId="79433A0F" w14:textId="2A09B944" w:rsidR="00324B76" w:rsidRPr="00B91EC8" w:rsidRDefault="00137974" w:rsidP="00B668C1">
            <w:pPr>
              <w:jc w:val="center"/>
              <w:rPr>
                <w:sz w:val="20"/>
                <w:lang w:val="en-GB"/>
              </w:rPr>
            </w:pPr>
            <w:r>
              <w:rPr>
                <w:sz w:val="20"/>
                <w:lang w:val="en-GB"/>
              </w:rPr>
              <w:t>90.</w:t>
            </w:r>
            <w:r w:rsidR="00C451F1" w:rsidRPr="00B91EC8">
              <w:rPr>
                <w:sz w:val="20"/>
                <w:lang w:val="en-GB"/>
              </w:rPr>
              <w:t>0</w:t>
            </w:r>
          </w:p>
        </w:tc>
      </w:tr>
      <w:tr w:rsidR="00324B76" w:rsidRPr="00B91EC8" w14:paraId="43FE170D" w14:textId="77777777" w:rsidTr="00C451F1">
        <w:tc>
          <w:tcPr>
            <w:tcW w:w="2061" w:type="dxa"/>
          </w:tcPr>
          <w:p w14:paraId="4DDB657D" w14:textId="675896EF" w:rsidR="00324B76" w:rsidRPr="00B91EC8" w:rsidRDefault="00137974" w:rsidP="00B668C1">
            <w:pPr>
              <w:rPr>
                <w:b/>
                <w:sz w:val="20"/>
                <w:lang w:val="en-GB"/>
              </w:rPr>
            </w:pPr>
            <w:r>
              <w:rPr>
                <w:b/>
                <w:sz w:val="20"/>
                <w:lang w:val="en-GB"/>
              </w:rPr>
              <w:t>Clinical stage</w:t>
            </w:r>
            <w:r w:rsidR="00324B76" w:rsidRPr="00B91EC8">
              <w:rPr>
                <w:b/>
                <w:sz w:val="20"/>
                <w:lang w:val="en-GB"/>
              </w:rPr>
              <w:t xml:space="preserve"> II</w:t>
            </w:r>
          </w:p>
        </w:tc>
        <w:tc>
          <w:tcPr>
            <w:tcW w:w="2408" w:type="dxa"/>
            <w:vAlign w:val="center"/>
          </w:tcPr>
          <w:p w14:paraId="74D13EFA" w14:textId="0BC7E54D" w:rsidR="00324B76" w:rsidRPr="00B91EC8" w:rsidRDefault="00137974" w:rsidP="00B668C1">
            <w:pPr>
              <w:jc w:val="center"/>
              <w:rPr>
                <w:sz w:val="20"/>
                <w:lang w:val="en-GB"/>
              </w:rPr>
            </w:pPr>
            <w:r>
              <w:rPr>
                <w:sz w:val="20"/>
                <w:lang w:val="en-GB"/>
              </w:rPr>
              <w:t>65.</w:t>
            </w:r>
            <w:r w:rsidR="009171DB" w:rsidRPr="00B91EC8">
              <w:rPr>
                <w:sz w:val="20"/>
                <w:lang w:val="en-GB"/>
              </w:rPr>
              <w:t>8</w:t>
            </w:r>
          </w:p>
        </w:tc>
        <w:tc>
          <w:tcPr>
            <w:tcW w:w="2408" w:type="dxa"/>
            <w:vAlign w:val="center"/>
          </w:tcPr>
          <w:p w14:paraId="1A6A0378" w14:textId="3729AA78" w:rsidR="00324B76" w:rsidRPr="00B91EC8" w:rsidRDefault="00137974" w:rsidP="00B668C1">
            <w:pPr>
              <w:jc w:val="center"/>
              <w:rPr>
                <w:sz w:val="20"/>
                <w:lang w:val="en-GB"/>
              </w:rPr>
            </w:pPr>
            <w:r>
              <w:rPr>
                <w:sz w:val="20"/>
                <w:lang w:val="en-GB"/>
              </w:rPr>
              <w:t>71.</w:t>
            </w:r>
            <w:r w:rsidR="009171DB" w:rsidRPr="00B91EC8">
              <w:rPr>
                <w:sz w:val="20"/>
                <w:lang w:val="en-GB"/>
              </w:rPr>
              <w:t>6</w:t>
            </w:r>
          </w:p>
        </w:tc>
        <w:tc>
          <w:tcPr>
            <w:tcW w:w="2409" w:type="dxa"/>
            <w:vAlign w:val="center"/>
          </w:tcPr>
          <w:p w14:paraId="7013D5CD" w14:textId="0F2043A0" w:rsidR="00324B76" w:rsidRPr="00B91EC8" w:rsidRDefault="00137974" w:rsidP="00B668C1">
            <w:pPr>
              <w:jc w:val="center"/>
              <w:rPr>
                <w:sz w:val="20"/>
                <w:lang w:val="en-GB"/>
              </w:rPr>
            </w:pPr>
            <w:r>
              <w:rPr>
                <w:sz w:val="20"/>
                <w:lang w:val="en-GB"/>
              </w:rPr>
              <w:t>77.</w:t>
            </w:r>
            <w:r w:rsidR="009171DB" w:rsidRPr="00B91EC8">
              <w:rPr>
                <w:sz w:val="20"/>
                <w:lang w:val="en-GB"/>
              </w:rPr>
              <w:t>1</w:t>
            </w:r>
          </w:p>
        </w:tc>
      </w:tr>
      <w:tr w:rsidR="00324B76" w:rsidRPr="00B91EC8" w14:paraId="650FA070" w14:textId="77777777" w:rsidTr="00C451F1">
        <w:tc>
          <w:tcPr>
            <w:tcW w:w="2061" w:type="dxa"/>
          </w:tcPr>
          <w:p w14:paraId="05C7380D" w14:textId="44897B19" w:rsidR="00324B76" w:rsidRPr="00B91EC8" w:rsidRDefault="00137974" w:rsidP="00B668C1">
            <w:pPr>
              <w:rPr>
                <w:b/>
                <w:sz w:val="20"/>
                <w:lang w:val="en-GB"/>
              </w:rPr>
            </w:pPr>
            <w:r>
              <w:rPr>
                <w:b/>
                <w:sz w:val="20"/>
                <w:lang w:val="en-GB"/>
              </w:rPr>
              <w:t>Clinical stage</w:t>
            </w:r>
            <w:r w:rsidRPr="00B91EC8">
              <w:rPr>
                <w:b/>
                <w:sz w:val="20"/>
                <w:lang w:val="en-GB"/>
              </w:rPr>
              <w:t xml:space="preserve"> </w:t>
            </w:r>
            <w:r w:rsidR="00324B76" w:rsidRPr="00B91EC8">
              <w:rPr>
                <w:b/>
                <w:sz w:val="20"/>
                <w:lang w:val="en-GB"/>
              </w:rPr>
              <w:t>III</w:t>
            </w:r>
          </w:p>
        </w:tc>
        <w:tc>
          <w:tcPr>
            <w:tcW w:w="2408" w:type="dxa"/>
            <w:vAlign w:val="center"/>
          </w:tcPr>
          <w:p w14:paraId="46BDF488" w14:textId="3D70A742" w:rsidR="00324B76" w:rsidRPr="00B91EC8" w:rsidRDefault="00137974" w:rsidP="00B668C1">
            <w:pPr>
              <w:jc w:val="center"/>
              <w:rPr>
                <w:sz w:val="20"/>
                <w:lang w:val="en-GB"/>
              </w:rPr>
            </w:pPr>
            <w:r>
              <w:rPr>
                <w:sz w:val="20"/>
                <w:lang w:val="en-GB"/>
              </w:rPr>
              <w:t>45.</w:t>
            </w:r>
            <w:r w:rsidR="009171DB" w:rsidRPr="00B91EC8">
              <w:rPr>
                <w:sz w:val="20"/>
                <w:lang w:val="en-GB"/>
              </w:rPr>
              <w:t>7</w:t>
            </w:r>
          </w:p>
        </w:tc>
        <w:tc>
          <w:tcPr>
            <w:tcW w:w="2408" w:type="dxa"/>
            <w:vAlign w:val="center"/>
          </w:tcPr>
          <w:p w14:paraId="005AECE3" w14:textId="6F7DE222" w:rsidR="00324B76" w:rsidRPr="00B91EC8" w:rsidRDefault="00137974" w:rsidP="00B668C1">
            <w:pPr>
              <w:jc w:val="center"/>
              <w:rPr>
                <w:sz w:val="20"/>
                <w:lang w:val="en-GB"/>
              </w:rPr>
            </w:pPr>
            <w:r>
              <w:rPr>
                <w:sz w:val="20"/>
                <w:lang w:val="en-GB"/>
              </w:rPr>
              <w:t>52.</w:t>
            </w:r>
            <w:r w:rsidR="009171DB" w:rsidRPr="00B91EC8">
              <w:rPr>
                <w:sz w:val="20"/>
                <w:lang w:val="en-GB"/>
              </w:rPr>
              <w:t>0</w:t>
            </w:r>
          </w:p>
        </w:tc>
        <w:tc>
          <w:tcPr>
            <w:tcW w:w="2409" w:type="dxa"/>
            <w:vAlign w:val="center"/>
          </w:tcPr>
          <w:p w14:paraId="3B3E6E06" w14:textId="1B0F75AB" w:rsidR="00324B76" w:rsidRPr="00B91EC8" w:rsidRDefault="00137974" w:rsidP="00B668C1">
            <w:pPr>
              <w:jc w:val="center"/>
              <w:rPr>
                <w:sz w:val="20"/>
                <w:lang w:val="en-GB"/>
              </w:rPr>
            </w:pPr>
            <w:r>
              <w:rPr>
                <w:sz w:val="20"/>
                <w:lang w:val="en-GB"/>
              </w:rPr>
              <w:t>58.</w:t>
            </w:r>
            <w:r w:rsidR="009171DB" w:rsidRPr="00B91EC8">
              <w:rPr>
                <w:sz w:val="20"/>
                <w:lang w:val="en-GB"/>
              </w:rPr>
              <w:t>0</w:t>
            </w:r>
          </w:p>
        </w:tc>
      </w:tr>
      <w:tr w:rsidR="00324B76" w:rsidRPr="00B91EC8" w14:paraId="788F656C" w14:textId="77777777" w:rsidTr="00580AA5">
        <w:tc>
          <w:tcPr>
            <w:tcW w:w="2061" w:type="dxa"/>
          </w:tcPr>
          <w:p w14:paraId="238AE31F" w14:textId="773945CC" w:rsidR="00324B76" w:rsidRPr="00B91EC8" w:rsidRDefault="00137974" w:rsidP="00B668C1">
            <w:pPr>
              <w:rPr>
                <w:b/>
                <w:sz w:val="20"/>
                <w:lang w:val="en-GB"/>
              </w:rPr>
            </w:pPr>
            <w:r>
              <w:rPr>
                <w:b/>
                <w:sz w:val="20"/>
                <w:lang w:val="en-GB"/>
              </w:rPr>
              <w:t>Clinical stage</w:t>
            </w:r>
            <w:r w:rsidRPr="00B91EC8">
              <w:rPr>
                <w:b/>
                <w:sz w:val="20"/>
                <w:lang w:val="en-GB"/>
              </w:rPr>
              <w:t xml:space="preserve"> </w:t>
            </w:r>
            <w:r w:rsidR="00324B76" w:rsidRPr="00B91EC8">
              <w:rPr>
                <w:b/>
                <w:sz w:val="20"/>
                <w:lang w:val="en-GB"/>
              </w:rPr>
              <w:t>IV</w:t>
            </w:r>
          </w:p>
        </w:tc>
        <w:tc>
          <w:tcPr>
            <w:tcW w:w="2408" w:type="dxa"/>
            <w:vAlign w:val="center"/>
          </w:tcPr>
          <w:p w14:paraId="2237EE76" w14:textId="51C2880C" w:rsidR="00324B76" w:rsidRPr="00B91EC8" w:rsidRDefault="00137974" w:rsidP="00B668C1">
            <w:pPr>
              <w:jc w:val="center"/>
              <w:rPr>
                <w:sz w:val="20"/>
                <w:lang w:val="en-GB"/>
              </w:rPr>
            </w:pPr>
            <w:r>
              <w:rPr>
                <w:sz w:val="20"/>
                <w:lang w:val="en-GB"/>
              </w:rPr>
              <w:t>11.</w:t>
            </w:r>
            <w:r w:rsidR="009171DB" w:rsidRPr="00B91EC8">
              <w:rPr>
                <w:sz w:val="20"/>
                <w:lang w:val="en-GB"/>
              </w:rPr>
              <w:t>2</w:t>
            </w:r>
          </w:p>
        </w:tc>
        <w:tc>
          <w:tcPr>
            <w:tcW w:w="2408" w:type="dxa"/>
            <w:vAlign w:val="center"/>
          </w:tcPr>
          <w:p w14:paraId="56C3E24F" w14:textId="374E8AD6" w:rsidR="00324B76" w:rsidRPr="00B91EC8" w:rsidRDefault="00137974" w:rsidP="00B668C1">
            <w:pPr>
              <w:jc w:val="center"/>
              <w:rPr>
                <w:sz w:val="20"/>
                <w:lang w:val="en-GB"/>
              </w:rPr>
            </w:pPr>
            <w:r>
              <w:rPr>
                <w:sz w:val="20"/>
                <w:lang w:val="en-GB"/>
              </w:rPr>
              <w:t>12.</w:t>
            </w:r>
            <w:r w:rsidR="009171DB" w:rsidRPr="00B91EC8">
              <w:rPr>
                <w:sz w:val="20"/>
                <w:lang w:val="en-GB"/>
              </w:rPr>
              <w:t>9</w:t>
            </w:r>
          </w:p>
        </w:tc>
        <w:tc>
          <w:tcPr>
            <w:tcW w:w="2409" w:type="dxa"/>
            <w:vAlign w:val="center"/>
          </w:tcPr>
          <w:p w14:paraId="33CDC871" w14:textId="1C9DBAFB" w:rsidR="00324B76" w:rsidRPr="00B91EC8" w:rsidRDefault="00137974" w:rsidP="00B668C1">
            <w:pPr>
              <w:jc w:val="center"/>
              <w:rPr>
                <w:sz w:val="20"/>
                <w:lang w:val="en-GB"/>
              </w:rPr>
            </w:pPr>
            <w:r>
              <w:rPr>
                <w:sz w:val="20"/>
                <w:lang w:val="en-GB"/>
              </w:rPr>
              <w:t>14.</w:t>
            </w:r>
            <w:r w:rsidR="009171DB" w:rsidRPr="00B91EC8">
              <w:rPr>
                <w:sz w:val="20"/>
                <w:lang w:val="en-GB"/>
              </w:rPr>
              <w:t>5</w:t>
            </w:r>
          </w:p>
        </w:tc>
      </w:tr>
      <w:tr w:rsidR="00580AA5" w:rsidRPr="00B91EC8" w14:paraId="2E353B9A" w14:textId="77777777" w:rsidTr="00C451F1">
        <w:tc>
          <w:tcPr>
            <w:tcW w:w="2061" w:type="dxa"/>
            <w:tcBorders>
              <w:bottom w:val="single" w:sz="4" w:space="0" w:color="auto"/>
            </w:tcBorders>
          </w:tcPr>
          <w:p w14:paraId="3032E04A" w14:textId="4EDD58B1" w:rsidR="00580AA5" w:rsidRPr="00B91EC8" w:rsidRDefault="00137974" w:rsidP="00B668C1">
            <w:pPr>
              <w:rPr>
                <w:b/>
                <w:sz w:val="20"/>
                <w:lang w:val="en-GB"/>
              </w:rPr>
            </w:pPr>
            <w:r>
              <w:rPr>
                <w:b/>
                <w:sz w:val="20"/>
                <w:lang w:val="en-GB"/>
              </w:rPr>
              <w:t>All stages</w:t>
            </w:r>
          </w:p>
        </w:tc>
        <w:tc>
          <w:tcPr>
            <w:tcW w:w="2408" w:type="dxa"/>
            <w:tcBorders>
              <w:bottom w:val="single" w:sz="4" w:space="0" w:color="auto"/>
            </w:tcBorders>
            <w:vAlign w:val="center"/>
          </w:tcPr>
          <w:p w14:paraId="2AD33AB2" w14:textId="67C1A312" w:rsidR="00580AA5" w:rsidRPr="00B91EC8" w:rsidRDefault="00137974" w:rsidP="00B668C1">
            <w:pPr>
              <w:jc w:val="center"/>
              <w:rPr>
                <w:sz w:val="20"/>
                <w:lang w:val="en-GB"/>
              </w:rPr>
            </w:pPr>
            <w:r>
              <w:rPr>
                <w:sz w:val="20"/>
                <w:lang w:val="en-GB"/>
              </w:rPr>
              <w:t>53.</w:t>
            </w:r>
            <w:r w:rsidR="00580AA5" w:rsidRPr="00B91EC8">
              <w:rPr>
                <w:sz w:val="20"/>
                <w:lang w:val="en-GB"/>
              </w:rPr>
              <w:t>0</w:t>
            </w:r>
          </w:p>
        </w:tc>
        <w:tc>
          <w:tcPr>
            <w:tcW w:w="2408" w:type="dxa"/>
            <w:tcBorders>
              <w:bottom w:val="single" w:sz="4" w:space="0" w:color="auto"/>
            </w:tcBorders>
            <w:vAlign w:val="center"/>
          </w:tcPr>
          <w:p w14:paraId="047F80E8" w14:textId="00706682" w:rsidR="00580AA5" w:rsidRPr="00B91EC8" w:rsidRDefault="00137974" w:rsidP="00B668C1">
            <w:pPr>
              <w:jc w:val="center"/>
              <w:rPr>
                <w:sz w:val="20"/>
                <w:lang w:val="en-GB"/>
              </w:rPr>
            </w:pPr>
            <w:r>
              <w:rPr>
                <w:sz w:val="20"/>
                <w:lang w:val="en-GB"/>
              </w:rPr>
              <w:t>57.</w:t>
            </w:r>
            <w:r w:rsidR="00580AA5" w:rsidRPr="00B91EC8">
              <w:rPr>
                <w:sz w:val="20"/>
                <w:lang w:val="en-GB"/>
              </w:rPr>
              <w:t>3</w:t>
            </w:r>
          </w:p>
        </w:tc>
        <w:tc>
          <w:tcPr>
            <w:tcW w:w="2409" w:type="dxa"/>
            <w:tcBorders>
              <w:bottom w:val="single" w:sz="4" w:space="0" w:color="auto"/>
            </w:tcBorders>
            <w:vAlign w:val="center"/>
          </w:tcPr>
          <w:p w14:paraId="2A80E746" w14:textId="251CF791" w:rsidR="00580AA5" w:rsidRPr="00B91EC8" w:rsidRDefault="00137974" w:rsidP="00B668C1">
            <w:pPr>
              <w:jc w:val="center"/>
              <w:rPr>
                <w:sz w:val="20"/>
                <w:lang w:val="en-GB"/>
              </w:rPr>
            </w:pPr>
            <w:r>
              <w:rPr>
                <w:sz w:val="20"/>
                <w:lang w:val="en-GB"/>
              </w:rPr>
              <w:t>62.</w:t>
            </w:r>
            <w:r w:rsidR="00580AA5" w:rsidRPr="00B91EC8">
              <w:rPr>
                <w:sz w:val="20"/>
                <w:lang w:val="en-GB"/>
              </w:rPr>
              <w:t>0</w:t>
            </w:r>
          </w:p>
        </w:tc>
      </w:tr>
    </w:tbl>
    <w:p w14:paraId="4B3C4E3F" w14:textId="77777777" w:rsidR="00324B76" w:rsidRPr="00B91EC8" w:rsidRDefault="00324B76" w:rsidP="00324B76">
      <w:pPr>
        <w:rPr>
          <w:lang w:val="en-GB"/>
        </w:rPr>
      </w:pPr>
    </w:p>
    <w:p w14:paraId="25ADB836" w14:textId="7AC18E22" w:rsidR="00853D5C" w:rsidRDefault="00A73D50">
      <w:pPr>
        <w:rPr>
          <w:lang w:val="en-GB"/>
        </w:rPr>
      </w:pPr>
      <w:r w:rsidRPr="00A73D50">
        <w:rPr>
          <w:lang w:val="en-GB"/>
        </w:rPr>
        <w:t>The European study EUROCARE-5 analysed data from cancer registries of 29 countries in order to compare 5-year survival rates of more than 9 million cancer patients in the period 2000–2007. The study confirmed that results of the Czech cancer care have been catching up with the European average, and that in a large majority of cancers, including colorectal cancer, survival rates of Czech cancer patients are much better than those in other countries of the former Eastern Bloc (</w:t>
      </w:r>
      <w:r w:rsidRPr="00A73D50">
        <w:rPr>
          <w:b/>
          <w:u w:val="single"/>
          <w:lang w:val="en-GB"/>
        </w:rPr>
        <w:t>Table 4</w:t>
      </w:r>
      <w:r w:rsidRPr="00A73D50">
        <w:rPr>
          <w:lang w:val="en-GB"/>
        </w:rPr>
        <w:t>).</w:t>
      </w:r>
    </w:p>
    <w:p w14:paraId="6E7697FF" w14:textId="77777777" w:rsidR="00E152EC" w:rsidRPr="00B91EC8" w:rsidRDefault="00E152EC">
      <w:pPr>
        <w:rPr>
          <w:lang w:val="en-GB"/>
        </w:rPr>
      </w:pPr>
    </w:p>
    <w:p w14:paraId="63524639" w14:textId="77777777" w:rsidR="00137974" w:rsidRDefault="00137974" w:rsidP="00F956C6">
      <w:pPr>
        <w:rPr>
          <w:i/>
          <w:lang w:val="en-GB"/>
        </w:rPr>
      </w:pPr>
    </w:p>
    <w:p w14:paraId="665CDCA9" w14:textId="77777777" w:rsidR="00137974" w:rsidRDefault="00137974" w:rsidP="00F956C6">
      <w:pPr>
        <w:rPr>
          <w:i/>
          <w:lang w:val="en-GB"/>
        </w:rPr>
      </w:pPr>
    </w:p>
    <w:p w14:paraId="138A2513" w14:textId="77777777" w:rsidR="00137974" w:rsidRDefault="00137974" w:rsidP="00F956C6">
      <w:pPr>
        <w:rPr>
          <w:i/>
          <w:lang w:val="en-GB"/>
        </w:rPr>
      </w:pPr>
    </w:p>
    <w:p w14:paraId="1480C33D" w14:textId="15FB63E9" w:rsidR="00F71FF4" w:rsidRPr="00B91EC8" w:rsidRDefault="00F956C6" w:rsidP="00F956C6">
      <w:pPr>
        <w:rPr>
          <w:i/>
          <w:lang w:val="en-GB"/>
        </w:rPr>
      </w:pPr>
      <w:r>
        <w:rPr>
          <w:i/>
          <w:lang w:val="en-GB"/>
        </w:rPr>
        <w:lastRenderedPageBreak/>
        <w:t>Table</w:t>
      </w:r>
      <w:r w:rsidR="002A7F08" w:rsidRPr="00B91EC8">
        <w:rPr>
          <w:i/>
          <w:lang w:val="en-GB"/>
        </w:rPr>
        <w:t xml:space="preserve"> 4: </w:t>
      </w:r>
      <w:r>
        <w:rPr>
          <w:lang w:val="en-GB"/>
        </w:rPr>
        <w:t>Five-year relative survival of CRC patients according to the EUROCARE-5 study in the period</w:t>
      </w:r>
      <w:r w:rsidR="002A7F08" w:rsidRPr="00F956C6">
        <w:rPr>
          <w:lang w:val="en-GB"/>
        </w:rPr>
        <w:t xml:space="preserve"> 2000–2007 (</w:t>
      </w:r>
      <w:r w:rsidR="001C34CD" w:rsidRPr="00F956C6">
        <w:rPr>
          <w:lang w:val="en-GB"/>
        </w:rPr>
        <w:t>D</w:t>
      </w:r>
      <w:r w:rsidR="002A7F08" w:rsidRPr="00F956C6">
        <w:rPr>
          <w:lang w:val="en-GB"/>
        </w:rPr>
        <w:t>e Angelis et al., 2014)</w:t>
      </w:r>
      <w:r>
        <w:rPr>
          <w:lang w:val="en-GB"/>
        </w:rPr>
        <w:t>.</w:t>
      </w:r>
    </w:p>
    <w:tbl>
      <w:tblPr>
        <w:tblStyle w:val="TableGrid"/>
        <w:tblW w:w="6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6"/>
        <w:gridCol w:w="2483"/>
        <w:gridCol w:w="2087"/>
      </w:tblGrid>
      <w:tr w:rsidR="003D021B" w:rsidRPr="00B91EC8" w14:paraId="69810697" w14:textId="77777777" w:rsidTr="003F6904">
        <w:tc>
          <w:tcPr>
            <w:tcW w:w="2086" w:type="dxa"/>
            <w:tcBorders>
              <w:top w:val="single" w:sz="4" w:space="0" w:color="auto"/>
              <w:bottom w:val="single" w:sz="4" w:space="0" w:color="auto"/>
            </w:tcBorders>
          </w:tcPr>
          <w:p w14:paraId="2ACEC9E9" w14:textId="77777777" w:rsidR="003D021B" w:rsidRPr="00B91EC8" w:rsidRDefault="003D021B">
            <w:pPr>
              <w:rPr>
                <w:rFonts w:cs="Times New Roman"/>
                <w:lang w:val="en-GB"/>
              </w:rPr>
            </w:pPr>
          </w:p>
        </w:tc>
        <w:tc>
          <w:tcPr>
            <w:tcW w:w="2483" w:type="dxa"/>
            <w:tcBorders>
              <w:top w:val="single" w:sz="4" w:space="0" w:color="auto"/>
              <w:bottom w:val="single" w:sz="4" w:space="0" w:color="auto"/>
            </w:tcBorders>
            <w:vAlign w:val="center"/>
          </w:tcPr>
          <w:p w14:paraId="5A24C5D0" w14:textId="311D03B6" w:rsidR="003D021B" w:rsidRPr="00B91EC8" w:rsidRDefault="00137974" w:rsidP="003F6904">
            <w:pPr>
              <w:jc w:val="center"/>
              <w:rPr>
                <w:rFonts w:cs="Times New Roman"/>
                <w:b/>
                <w:lang w:val="en-GB"/>
              </w:rPr>
            </w:pPr>
            <w:r>
              <w:rPr>
                <w:rFonts w:cs="Times New Roman"/>
                <w:b/>
                <w:lang w:val="en-GB"/>
              </w:rPr>
              <w:t>Colon cancer</w:t>
            </w:r>
            <w:r w:rsidR="003D021B" w:rsidRPr="00B91EC8">
              <w:rPr>
                <w:rFonts w:cs="Times New Roman"/>
                <w:b/>
                <w:lang w:val="en-GB"/>
              </w:rPr>
              <w:t xml:space="preserve"> (%)</w:t>
            </w:r>
          </w:p>
        </w:tc>
        <w:tc>
          <w:tcPr>
            <w:tcW w:w="2087" w:type="dxa"/>
            <w:tcBorders>
              <w:top w:val="single" w:sz="4" w:space="0" w:color="auto"/>
              <w:bottom w:val="single" w:sz="4" w:space="0" w:color="auto"/>
            </w:tcBorders>
            <w:vAlign w:val="center"/>
          </w:tcPr>
          <w:p w14:paraId="4FC5920E" w14:textId="20FEF8FC" w:rsidR="003D021B" w:rsidRPr="00B91EC8" w:rsidRDefault="00137974" w:rsidP="003F6904">
            <w:pPr>
              <w:jc w:val="center"/>
              <w:rPr>
                <w:rFonts w:cs="Times New Roman"/>
                <w:b/>
                <w:lang w:val="en-GB"/>
              </w:rPr>
            </w:pPr>
            <w:r>
              <w:rPr>
                <w:rFonts w:cs="Times New Roman"/>
                <w:b/>
                <w:lang w:val="en-GB"/>
              </w:rPr>
              <w:t>Rectal cancer</w:t>
            </w:r>
            <w:r w:rsidR="003D021B" w:rsidRPr="00B91EC8">
              <w:rPr>
                <w:rFonts w:cs="Times New Roman"/>
                <w:b/>
                <w:lang w:val="en-GB"/>
              </w:rPr>
              <w:t xml:space="preserve"> (%)</w:t>
            </w:r>
          </w:p>
        </w:tc>
      </w:tr>
      <w:tr w:rsidR="003D021B" w:rsidRPr="00B91EC8" w14:paraId="4B92ADC9" w14:textId="77777777" w:rsidTr="003F6904">
        <w:tc>
          <w:tcPr>
            <w:tcW w:w="2086" w:type="dxa"/>
            <w:tcBorders>
              <w:top w:val="single" w:sz="4" w:space="0" w:color="auto"/>
            </w:tcBorders>
            <w:vAlign w:val="center"/>
          </w:tcPr>
          <w:p w14:paraId="15E6B117" w14:textId="1FBA7D41" w:rsidR="003D021B" w:rsidRPr="00B91EC8" w:rsidRDefault="00137974" w:rsidP="00B668C1">
            <w:pPr>
              <w:rPr>
                <w:rFonts w:cs="Times New Roman"/>
                <w:b/>
                <w:lang w:val="en-GB"/>
              </w:rPr>
            </w:pPr>
            <w:r>
              <w:rPr>
                <w:rFonts w:cs="Times New Roman"/>
                <w:b/>
                <w:lang w:val="en-GB"/>
              </w:rPr>
              <w:t>Northern Europe</w:t>
            </w:r>
          </w:p>
        </w:tc>
        <w:tc>
          <w:tcPr>
            <w:tcW w:w="2483" w:type="dxa"/>
            <w:tcBorders>
              <w:top w:val="single" w:sz="4" w:space="0" w:color="auto"/>
            </w:tcBorders>
            <w:vAlign w:val="center"/>
          </w:tcPr>
          <w:p w14:paraId="4E2477DA" w14:textId="639E0201" w:rsidR="003D021B" w:rsidRPr="00B91EC8" w:rsidRDefault="00137974" w:rsidP="003D021B">
            <w:pPr>
              <w:jc w:val="center"/>
              <w:rPr>
                <w:rFonts w:cs="Times New Roman"/>
                <w:lang w:val="en-GB"/>
              </w:rPr>
            </w:pPr>
            <w:r>
              <w:rPr>
                <w:rFonts w:cs="Times New Roman"/>
                <w:lang w:val="en-GB"/>
              </w:rPr>
              <w:t>59.</w:t>
            </w:r>
            <w:r w:rsidR="003D021B" w:rsidRPr="00B91EC8">
              <w:rPr>
                <w:rFonts w:cs="Times New Roman"/>
                <w:lang w:val="en-GB"/>
              </w:rPr>
              <w:t>0</w:t>
            </w:r>
          </w:p>
        </w:tc>
        <w:tc>
          <w:tcPr>
            <w:tcW w:w="2087" w:type="dxa"/>
            <w:tcBorders>
              <w:top w:val="single" w:sz="4" w:space="0" w:color="auto"/>
            </w:tcBorders>
            <w:vAlign w:val="center"/>
          </w:tcPr>
          <w:p w14:paraId="6816BE62" w14:textId="07935E13" w:rsidR="003D021B" w:rsidRPr="00B91EC8" w:rsidRDefault="00137974" w:rsidP="003D021B">
            <w:pPr>
              <w:jc w:val="center"/>
              <w:rPr>
                <w:rFonts w:cs="Times New Roman"/>
                <w:lang w:val="en-GB"/>
              </w:rPr>
            </w:pPr>
            <w:r>
              <w:rPr>
                <w:rFonts w:cs="Times New Roman"/>
                <w:lang w:val="en-GB"/>
              </w:rPr>
              <w:t>59.</w:t>
            </w:r>
            <w:r w:rsidR="003D021B" w:rsidRPr="00B91EC8">
              <w:rPr>
                <w:rFonts w:cs="Times New Roman"/>
                <w:lang w:val="en-GB"/>
              </w:rPr>
              <w:t>5</w:t>
            </w:r>
          </w:p>
        </w:tc>
      </w:tr>
      <w:tr w:rsidR="003D021B" w:rsidRPr="00B91EC8" w14:paraId="05C69966" w14:textId="77777777" w:rsidTr="003F6904">
        <w:tc>
          <w:tcPr>
            <w:tcW w:w="2086" w:type="dxa"/>
            <w:vAlign w:val="center"/>
          </w:tcPr>
          <w:p w14:paraId="5521DF58" w14:textId="3BD4B485" w:rsidR="003D021B" w:rsidRPr="00B91EC8" w:rsidRDefault="00137974" w:rsidP="00B668C1">
            <w:pPr>
              <w:rPr>
                <w:rFonts w:cs="Times New Roman"/>
                <w:b/>
                <w:lang w:val="en-GB"/>
              </w:rPr>
            </w:pPr>
            <w:r>
              <w:rPr>
                <w:rFonts w:cs="Times New Roman"/>
                <w:b/>
                <w:lang w:val="en-GB"/>
              </w:rPr>
              <w:t>UK and Ireland</w:t>
            </w:r>
          </w:p>
        </w:tc>
        <w:tc>
          <w:tcPr>
            <w:tcW w:w="2483" w:type="dxa"/>
            <w:vAlign w:val="center"/>
          </w:tcPr>
          <w:p w14:paraId="0F821F51" w14:textId="3D4DE0E9" w:rsidR="003D021B" w:rsidRPr="00B91EC8" w:rsidRDefault="00137974" w:rsidP="003D021B">
            <w:pPr>
              <w:jc w:val="center"/>
              <w:rPr>
                <w:rFonts w:cs="Times New Roman"/>
                <w:lang w:val="en-GB"/>
              </w:rPr>
            </w:pPr>
            <w:r>
              <w:rPr>
                <w:rFonts w:cs="Times New Roman"/>
                <w:lang w:val="en-GB"/>
              </w:rPr>
              <w:t>51.</w:t>
            </w:r>
            <w:r w:rsidR="003D021B" w:rsidRPr="00B91EC8">
              <w:rPr>
                <w:rFonts w:cs="Times New Roman"/>
                <w:lang w:val="en-GB"/>
              </w:rPr>
              <w:t>8</w:t>
            </w:r>
          </w:p>
        </w:tc>
        <w:tc>
          <w:tcPr>
            <w:tcW w:w="2087" w:type="dxa"/>
            <w:vAlign w:val="center"/>
          </w:tcPr>
          <w:p w14:paraId="0DF832EE" w14:textId="20507D27" w:rsidR="003D021B" w:rsidRPr="00B91EC8" w:rsidRDefault="00137974" w:rsidP="003D021B">
            <w:pPr>
              <w:jc w:val="center"/>
              <w:rPr>
                <w:rFonts w:cs="Times New Roman"/>
                <w:lang w:val="en-GB"/>
              </w:rPr>
            </w:pPr>
            <w:r>
              <w:rPr>
                <w:rFonts w:cs="Times New Roman"/>
                <w:lang w:val="en-GB"/>
              </w:rPr>
              <w:t>53.</w:t>
            </w:r>
            <w:r w:rsidR="003D021B" w:rsidRPr="00B91EC8">
              <w:rPr>
                <w:rFonts w:cs="Times New Roman"/>
                <w:lang w:val="en-GB"/>
              </w:rPr>
              <w:t>7</w:t>
            </w:r>
          </w:p>
        </w:tc>
      </w:tr>
      <w:tr w:rsidR="003D021B" w:rsidRPr="00B91EC8" w14:paraId="367EDEB0" w14:textId="77777777" w:rsidTr="003F6904">
        <w:tc>
          <w:tcPr>
            <w:tcW w:w="2086" w:type="dxa"/>
            <w:vAlign w:val="center"/>
          </w:tcPr>
          <w:p w14:paraId="2EF795BA" w14:textId="14C2089C" w:rsidR="003D021B" w:rsidRPr="00B91EC8" w:rsidRDefault="00137974" w:rsidP="00B668C1">
            <w:pPr>
              <w:pStyle w:val="NormalWeb"/>
              <w:spacing w:before="0" w:beforeAutospacing="0" w:after="0" w:afterAutospacing="0"/>
              <w:textAlignment w:val="bottom"/>
              <w:rPr>
                <w:rFonts w:eastAsiaTheme="minorHAnsi"/>
                <w:b/>
                <w:sz w:val="22"/>
                <w:szCs w:val="22"/>
                <w:lang w:val="en-GB" w:eastAsia="en-US"/>
              </w:rPr>
            </w:pPr>
            <w:r>
              <w:rPr>
                <w:rFonts w:eastAsiaTheme="minorHAnsi"/>
                <w:b/>
                <w:sz w:val="22"/>
                <w:szCs w:val="22"/>
                <w:lang w:val="en-GB" w:eastAsia="en-US"/>
              </w:rPr>
              <w:t>Central Europe</w:t>
            </w:r>
          </w:p>
        </w:tc>
        <w:tc>
          <w:tcPr>
            <w:tcW w:w="2483" w:type="dxa"/>
            <w:vAlign w:val="center"/>
          </w:tcPr>
          <w:p w14:paraId="6B37D8D5" w14:textId="537B1631" w:rsidR="003D021B" w:rsidRPr="00B91EC8" w:rsidRDefault="00137974" w:rsidP="003D021B">
            <w:pPr>
              <w:jc w:val="center"/>
              <w:rPr>
                <w:rFonts w:cs="Times New Roman"/>
                <w:lang w:val="en-GB"/>
              </w:rPr>
            </w:pPr>
            <w:r>
              <w:rPr>
                <w:rFonts w:cs="Times New Roman"/>
                <w:lang w:val="en-GB"/>
              </w:rPr>
              <w:t>60.</w:t>
            </w:r>
            <w:r w:rsidR="003D021B" w:rsidRPr="00B91EC8">
              <w:rPr>
                <w:rFonts w:cs="Times New Roman"/>
                <w:lang w:val="en-GB"/>
              </w:rPr>
              <w:t>5</w:t>
            </w:r>
          </w:p>
        </w:tc>
        <w:tc>
          <w:tcPr>
            <w:tcW w:w="2087" w:type="dxa"/>
            <w:vAlign w:val="center"/>
          </w:tcPr>
          <w:p w14:paraId="58866288" w14:textId="431E4BA9" w:rsidR="003D021B" w:rsidRPr="00B91EC8" w:rsidRDefault="00137974" w:rsidP="003D021B">
            <w:pPr>
              <w:jc w:val="center"/>
              <w:rPr>
                <w:rFonts w:cs="Times New Roman"/>
                <w:lang w:val="en-GB"/>
              </w:rPr>
            </w:pPr>
            <w:r>
              <w:rPr>
                <w:rFonts w:cs="Times New Roman"/>
                <w:lang w:val="en-GB"/>
              </w:rPr>
              <w:t>60.</w:t>
            </w:r>
            <w:r w:rsidR="003D021B" w:rsidRPr="00B91EC8">
              <w:rPr>
                <w:rFonts w:cs="Times New Roman"/>
                <w:lang w:val="en-GB"/>
              </w:rPr>
              <w:t>1</w:t>
            </w:r>
          </w:p>
        </w:tc>
      </w:tr>
      <w:tr w:rsidR="003D021B" w:rsidRPr="00B91EC8" w14:paraId="1836C0A1" w14:textId="77777777" w:rsidTr="003F6904">
        <w:tc>
          <w:tcPr>
            <w:tcW w:w="2086" w:type="dxa"/>
            <w:vAlign w:val="center"/>
          </w:tcPr>
          <w:p w14:paraId="3C31D344" w14:textId="5A1AA4CC" w:rsidR="003D021B" w:rsidRPr="00B91EC8" w:rsidRDefault="00137974" w:rsidP="00B668C1">
            <w:pPr>
              <w:pStyle w:val="NormalWeb"/>
              <w:spacing w:before="0" w:beforeAutospacing="0" w:after="0" w:afterAutospacing="0"/>
              <w:textAlignment w:val="bottom"/>
              <w:rPr>
                <w:rFonts w:eastAsiaTheme="minorHAnsi"/>
                <w:b/>
                <w:sz w:val="22"/>
                <w:szCs w:val="22"/>
                <w:lang w:val="en-GB" w:eastAsia="en-US"/>
              </w:rPr>
            </w:pPr>
            <w:r>
              <w:rPr>
                <w:rFonts w:eastAsiaTheme="minorHAnsi"/>
                <w:b/>
                <w:sz w:val="22"/>
                <w:szCs w:val="22"/>
                <w:lang w:val="en-GB" w:eastAsia="en-US"/>
              </w:rPr>
              <w:t>Southern Europe</w:t>
            </w:r>
          </w:p>
        </w:tc>
        <w:tc>
          <w:tcPr>
            <w:tcW w:w="2483" w:type="dxa"/>
            <w:vAlign w:val="center"/>
          </w:tcPr>
          <w:p w14:paraId="5E829C90" w14:textId="46F6A8FD" w:rsidR="003D021B" w:rsidRPr="00B91EC8" w:rsidRDefault="00137974" w:rsidP="003D021B">
            <w:pPr>
              <w:jc w:val="center"/>
              <w:rPr>
                <w:rFonts w:cs="Times New Roman"/>
                <w:lang w:val="en-GB"/>
              </w:rPr>
            </w:pPr>
            <w:r>
              <w:rPr>
                <w:rFonts w:cs="Times New Roman"/>
                <w:lang w:val="en-GB"/>
              </w:rPr>
              <w:t>58.</w:t>
            </w:r>
            <w:r w:rsidR="003D021B" w:rsidRPr="00B91EC8">
              <w:rPr>
                <w:rFonts w:cs="Times New Roman"/>
                <w:lang w:val="en-GB"/>
              </w:rPr>
              <w:t>5</w:t>
            </w:r>
          </w:p>
        </w:tc>
        <w:tc>
          <w:tcPr>
            <w:tcW w:w="2087" w:type="dxa"/>
            <w:vAlign w:val="center"/>
          </w:tcPr>
          <w:p w14:paraId="53BD1761" w14:textId="28820332" w:rsidR="003D021B" w:rsidRPr="00B91EC8" w:rsidRDefault="00137974" w:rsidP="003D021B">
            <w:pPr>
              <w:jc w:val="center"/>
              <w:rPr>
                <w:rFonts w:cs="Times New Roman"/>
                <w:lang w:val="en-GB"/>
              </w:rPr>
            </w:pPr>
            <w:r>
              <w:rPr>
                <w:rFonts w:cs="Times New Roman"/>
                <w:lang w:val="en-GB"/>
              </w:rPr>
              <w:t>55.</w:t>
            </w:r>
            <w:r w:rsidR="003D021B" w:rsidRPr="00B91EC8">
              <w:rPr>
                <w:rFonts w:cs="Times New Roman"/>
                <w:lang w:val="en-GB"/>
              </w:rPr>
              <w:t>4</w:t>
            </w:r>
          </w:p>
        </w:tc>
      </w:tr>
      <w:tr w:rsidR="003D021B" w:rsidRPr="00B91EC8" w14:paraId="795C2392" w14:textId="77777777" w:rsidTr="003F6904">
        <w:tc>
          <w:tcPr>
            <w:tcW w:w="2086" w:type="dxa"/>
            <w:vAlign w:val="center"/>
          </w:tcPr>
          <w:p w14:paraId="0788928B" w14:textId="34F13B42" w:rsidR="003D021B" w:rsidRPr="00B91EC8" w:rsidRDefault="00137974" w:rsidP="00B668C1">
            <w:pPr>
              <w:pStyle w:val="NormalWeb"/>
              <w:spacing w:before="0" w:beforeAutospacing="0" w:after="0" w:afterAutospacing="0"/>
              <w:textAlignment w:val="bottom"/>
              <w:rPr>
                <w:rFonts w:eastAsiaTheme="minorHAnsi"/>
                <w:b/>
                <w:sz w:val="22"/>
                <w:szCs w:val="22"/>
                <w:lang w:val="en-GB" w:eastAsia="en-US"/>
              </w:rPr>
            </w:pPr>
            <w:r>
              <w:rPr>
                <w:rFonts w:eastAsiaTheme="minorHAnsi"/>
                <w:b/>
                <w:sz w:val="22"/>
                <w:szCs w:val="22"/>
                <w:lang w:val="en-GB" w:eastAsia="en-US"/>
              </w:rPr>
              <w:t>Eastern Europe</w:t>
            </w:r>
          </w:p>
        </w:tc>
        <w:tc>
          <w:tcPr>
            <w:tcW w:w="2483" w:type="dxa"/>
            <w:vAlign w:val="center"/>
          </w:tcPr>
          <w:p w14:paraId="1D6A9EDD" w14:textId="310A41BB" w:rsidR="003D021B" w:rsidRPr="00B91EC8" w:rsidRDefault="00137974" w:rsidP="003D021B">
            <w:pPr>
              <w:jc w:val="center"/>
              <w:rPr>
                <w:rFonts w:cs="Times New Roman"/>
                <w:lang w:val="en-GB"/>
              </w:rPr>
            </w:pPr>
            <w:r>
              <w:rPr>
                <w:rFonts w:cs="Times New Roman"/>
                <w:lang w:val="en-GB"/>
              </w:rPr>
              <w:t>49.</w:t>
            </w:r>
            <w:r w:rsidR="003D021B" w:rsidRPr="00B91EC8">
              <w:rPr>
                <w:rFonts w:cs="Times New Roman"/>
                <w:lang w:val="en-GB"/>
              </w:rPr>
              <w:t>4</w:t>
            </w:r>
          </w:p>
        </w:tc>
        <w:tc>
          <w:tcPr>
            <w:tcW w:w="2087" w:type="dxa"/>
            <w:vAlign w:val="center"/>
          </w:tcPr>
          <w:p w14:paraId="1E5D38E3" w14:textId="78B9057D" w:rsidR="003D021B" w:rsidRPr="00B91EC8" w:rsidRDefault="00137974" w:rsidP="003D021B">
            <w:pPr>
              <w:jc w:val="center"/>
              <w:rPr>
                <w:rFonts w:cs="Times New Roman"/>
                <w:lang w:val="en-GB"/>
              </w:rPr>
            </w:pPr>
            <w:r>
              <w:rPr>
                <w:rFonts w:cs="Times New Roman"/>
                <w:lang w:val="en-GB"/>
              </w:rPr>
              <w:t>44.</w:t>
            </w:r>
            <w:r w:rsidR="003D021B" w:rsidRPr="00B91EC8">
              <w:rPr>
                <w:rFonts w:cs="Times New Roman"/>
                <w:lang w:val="en-GB"/>
              </w:rPr>
              <w:t>6</w:t>
            </w:r>
          </w:p>
        </w:tc>
      </w:tr>
      <w:tr w:rsidR="003D021B" w:rsidRPr="00B91EC8" w14:paraId="1623B422" w14:textId="77777777" w:rsidTr="003F6904">
        <w:tc>
          <w:tcPr>
            <w:tcW w:w="2086" w:type="dxa"/>
            <w:shd w:val="clear" w:color="auto" w:fill="D9D9D9" w:themeFill="background1" w:themeFillShade="D9"/>
            <w:vAlign w:val="center"/>
          </w:tcPr>
          <w:p w14:paraId="5ECD8056" w14:textId="7DA78B4E" w:rsidR="003D021B" w:rsidRPr="00B91EC8" w:rsidRDefault="00137974" w:rsidP="00B668C1">
            <w:pPr>
              <w:rPr>
                <w:rFonts w:cs="Times New Roman"/>
                <w:b/>
                <w:lang w:val="en-GB"/>
              </w:rPr>
            </w:pPr>
            <w:r>
              <w:rPr>
                <w:rFonts w:cs="Times New Roman"/>
                <w:b/>
                <w:lang w:val="en-GB"/>
              </w:rPr>
              <w:t>Czech Republic</w:t>
            </w:r>
          </w:p>
        </w:tc>
        <w:tc>
          <w:tcPr>
            <w:tcW w:w="2483" w:type="dxa"/>
            <w:shd w:val="clear" w:color="auto" w:fill="D9D9D9" w:themeFill="background1" w:themeFillShade="D9"/>
            <w:vAlign w:val="center"/>
          </w:tcPr>
          <w:p w14:paraId="0CC15D74" w14:textId="1B081689" w:rsidR="003D021B" w:rsidRPr="00B91EC8" w:rsidRDefault="00137974" w:rsidP="003D021B">
            <w:pPr>
              <w:jc w:val="center"/>
              <w:rPr>
                <w:rFonts w:cs="Times New Roman"/>
                <w:lang w:val="en-GB"/>
              </w:rPr>
            </w:pPr>
            <w:r>
              <w:rPr>
                <w:rFonts w:cs="Times New Roman"/>
                <w:lang w:val="en-GB"/>
              </w:rPr>
              <w:t>52.</w:t>
            </w:r>
            <w:r w:rsidR="003D021B" w:rsidRPr="00B91EC8">
              <w:rPr>
                <w:rFonts w:cs="Times New Roman"/>
                <w:lang w:val="en-GB"/>
              </w:rPr>
              <w:t>5</w:t>
            </w:r>
          </w:p>
        </w:tc>
        <w:tc>
          <w:tcPr>
            <w:tcW w:w="2087" w:type="dxa"/>
            <w:shd w:val="clear" w:color="auto" w:fill="D9D9D9" w:themeFill="background1" w:themeFillShade="D9"/>
            <w:vAlign w:val="center"/>
          </w:tcPr>
          <w:p w14:paraId="712AE86E" w14:textId="45C2930B" w:rsidR="003D021B" w:rsidRPr="00B91EC8" w:rsidRDefault="00137974" w:rsidP="003D021B">
            <w:pPr>
              <w:jc w:val="center"/>
              <w:rPr>
                <w:rFonts w:cs="Times New Roman"/>
                <w:lang w:val="en-GB"/>
              </w:rPr>
            </w:pPr>
            <w:r>
              <w:rPr>
                <w:rFonts w:cs="Times New Roman"/>
                <w:lang w:val="en-GB"/>
              </w:rPr>
              <w:t>48.</w:t>
            </w:r>
            <w:r w:rsidR="003D021B" w:rsidRPr="00B91EC8">
              <w:rPr>
                <w:rFonts w:cs="Times New Roman"/>
                <w:lang w:val="en-GB"/>
              </w:rPr>
              <w:t>7</w:t>
            </w:r>
          </w:p>
        </w:tc>
      </w:tr>
      <w:tr w:rsidR="003D021B" w:rsidRPr="00B91EC8" w14:paraId="1A8CA23A" w14:textId="77777777" w:rsidTr="003F6904">
        <w:tc>
          <w:tcPr>
            <w:tcW w:w="2086" w:type="dxa"/>
            <w:tcBorders>
              <w:bottom w:val="single" w:sz="4" w:space="0" w:color="auto"/>
            </w:tcBorders>
            <w:vAlign w:val="center"/>
          </w:tcPr>
          <w:p w14:paraId="72C22CAD" w14:textId="2E197F39" w:rsidR="003D021B" w:rsidRPr="00B91EC8" w:rsidRDefault="00137974" w:rsidP="00B668C1">
            <w:pPr>
              <w:rPr>
                <w:rFonts w:cs="Times New Roman"/>
                <w:b/>
                <w:lang w:val="en-GB"/>
              </w:rPr>
            </w:pPr>
            <w:r>
              <w:rPr>
                <w:rFonts w:cs="Times New Roman"/>
                <w:b/>
                <w:lang w:val="en-GB"/>
              </w:rPr>
              <w:t>European average</w:t>
            </w:r>
          </w:p>
        </w:tc>
        <w:tc>
          <w:tcPr>
            <w:tcW w:w="2483" w:type="dxa"/>
            <w:tcBorders>
              <w:bottom w:val="single" w:sz="4" w:space="0" w:color="auto"/>
            </w:tcBorders>
            <w:vAlign w:val="center"/>
          </w:tcPr>
          <w:p w14:paraId="1E38EF1F" w14:textId="04BAC6F0" w:rsidR="003D021B" w:rsidRPr="00B91EC8" w:rsidRDefault="00137974" w:rsidP="003D021B">
            <w:pPr>
              <w:jc w:val="center"/>
              <w:rPr>
                <w:rFonts w:cs="Times New Roman"/>
                <w:lang w:val="en-GB"/>
              </w:rPr>
            </w:pPr>
            <w:r>
              <w:rPr>
                <w:rFonts w:cs="Times New Roman"/>
                <w:lang w:val="en-GB"/>
              </w:rPr>
              <w:t>57.</w:t>
            </w:r>
            <w:r w:rsidR="003D021B" w:rsidRPr="00B91EC8">
              <w:rPr>
                <w:rFonts w:cs="Times New Roman"/>
                <w:lang w:val="en-GB"/>
              </w:rPr>
              <w:t>0</w:t>
            </w:r>
          </w:p>
        </w:tc>
        <w:tc>
          <w:tcPr>
            <w:tcW w:w="2087" w:type="dxa"/>
            <w:tcBorders>
              <w:bottom w:val="single" w:sz="4" w:space="0" w:color="auto"/>
            </w:tcBorders>
            <w:vAlign w:val="center"/>
          </w:tcPr>
          <w:p w14:paraId="093A3EEC" w14:textId="315D9CFB" w:rsidR="003D021B" w:rsidRPr="00B91EC8" w:rsidRDefault="00137974" w:rsidP="003D021B">
            <w:pPr>
              <w:jc w:val="center"/>
              <w:rPr>
                <w:rFonts w:cs="Times New Roman"/>
                <w:lang w:val="en-GB"/>
              </w:rPr>
            </w:pPr>
            <w:r>
              <w:rPr>
                <w:rFonts w:cs="Times New Roman"/>
                <w:lang w:val="en-GB"/>
              </w:rPr>
              <w:t>55.</w:t>
            </w:r>
            <w:r w:rsidR="003D021B" w:rsidRPr="00B91EC8">
              <w:rPr>
                <w:rFonts w:cs="Times New Roman"/>
                <w:lang w:val="en-GB"/>
              </w:rPr>
              <w:t>8</w:t>
            </w:r>
          </w:p>
        </w:tc>
      </w:tr>
    </w:tbl>
    <w:p w14:paraId="20385148" w14:textId="77777777" w:rsidR="000116B4" w:rsidRPr="00B91EC8" w:rsidRDefault="000116B4" w:rsidP="000116B4">
      <w:pPr>
        <w:rPr>
          <w:rFonts w:eastAsiaTheme="majorEastAsia" w:cstheme="majorBidi"/>
          <w:color w:val="4F81BD" w:themeColor="accent1"/>
          <w:sz w:val="26"/>
          <w:szCs w:val="26"/>
          <w:lang w:val="en-GB"/>
        </w:rPr>
      </w:pPr>
    </w:p>
    <w:p w14:paraId="67B23821" w14:textId="3B204758" w:rsidR="00766B0C" w:rsidRDefault="00766B0C" w:rsidP="00792AAA">
      <w:pPr>
        <w:pStyle w:val="Heading2"/>
        <w:rPr>
          <w:lang w:val="en-GB"/>
        </w:rPr>
      </w:pPr>
      <w:r>
        <w:rPr>
          <w:lang w:val="en-GB"/>
        </w:rPr>
        <w:t>An opportunity for change: invitations of citizens to screening programme</w:t>
      </w:r>
    </w:p>
    <w:p w14:paraId="605DD063" w14:textId="60EC0937" w:rsidR="00766B0C" w:rsidRDefault="00766B0C">
      <w:pPr>
        <w:rPr>
          <w:lang w:val="en-GB"/>
        </w:rPr>
      </w:pPr>
      <w:r>
        <w:rPr>
          <w:lang w:val="en-GB"/>
        </w:rPr>
        <w:t xml:space="preserve">The term </w:t>
      </w:r>
      <w:r w:rsidRPr="00766B0C">
        <w:rPr>
          <w:lang w:val="en-GB"/>
        </w:rPr>
        <w:t>“</w:t>
      </w:r>
      <w:r>
        <w:rPr>
          <w:lang w:val="en-GB"/>
        </w:rPr>
        <w:t>screening</w:t>
      </w:r>
      <w:r w:rsidRPr="00766B0C">
        <w:rPr>
          <w:lang w:val="en-GB"/>
        </w:rPr>
        <w:t>”</w:t>
      </w:r>
      <w:r>
        <w:rPr>
          <w:lang w:val="en-GB"/>
        </w:rPr>
        <w:t xml:space="preserve"> refers to regular preventive checkups of persons from the defined target </w:t>
      </w:r>
      <w:r w:rsidR="007533C8">
        <w:rPr>
          <w:lang w:val="en-GB"/>
        </w:rPr>
        <w:t>group that</w:t>
      </w:r>
      <w:r>
        <w:rPr>
          <w:lang w:val="en-GB"/>
        </w:rPr>
        <w:t xml:space="preserve"> do not show any symptoms of a given disease. If someone reports blood in the stools, frequent constipation, diarrhoea, or other symptoms possibly linked to CRC, then the examination of </w:t>
      </w:r>
      <w:r w:rsidR="00F575F9">
        <w:rPr>
          <w:lang w:val="en-GB"/>
        </w:rPr>
        <w:t>such person is not referred to as screening, but as a diagnostic examination</w:t>
      </w:r>
      <w:r w:rsidR="007533C8">
        <w:rPr>
          <w:lang w:val="en-GB"/>
        </w:rPr>
        <w:t>,</w:t>
      </w:r>
      <w:r w:rsidR="00F575F9">
        <w:rPr>
          <w:lang w:val="en-GB"/>
        </w:rPr>
        <w:t xml:space="preserve"> potentially reveal</w:t>
      </w:r>
      <w:r w:rsidR="007533C8">
        <w:rPr>
          <w:lang w:val="en-GB"/>
        </w:rPr>
        <w:t>ing</w:t>
      </w:r>
      <w:r w:rsidR="00F575F9">
        <w:rPr>
          <w:lang w:val="en-GB"/>
        </w:rPr>
        <w:t xml:space="preserve"> a disease of the gastrointestinal tract.</w:t>
      </w:r>
      <w:r w:rsidR="00996BAC">
        <w:rPr>
          <w:lang w:val="en-GB"/>
        </w:rPr>
        <w:t xml:space="preserve"> Similarly, if bowel cancer or another bowel condition has occurred relatively frequently in the family history of a given patient, then this patient is considered to be at a higher risk of CRC, and should undergo preventive checkups even more frequently than the standard recommended interval between screening examination.</w:t>
      </w:r>
    </w:p>
    <w:p w14:paraId="3F626D76" w14:textId="20FCE20F" w:rsidR="00792AAA" w:rsidRPr="00B91EC8" w:rsidRDefault="00996BAC">
      <w:pPr>
        <w:rPr>
          <w:lang w:val="en-GB"/>
        </w:rPr>
      </w:pPr>
      <w:r>
        <w:rPr>
          <w:lang w:val="en-GB"/>
        </w:rPr>
        <w:t>The colorectal cancer screening programme in the Czech Republic is a</w:t>
      </w:r>
      <w:r w:rsidR="00A854FF">
        <w:rPr>
          <w:lang w:val="en-GB"/>
        </w:rPr>
        <w:t>vailable</w:t>
      </w:r>
      <w:r>
        <w:rPr>
          <w:lang w:val="en-GB"/>
        </w:rPr>
        <w:t xml:space="preserve"> </w:t>
      </w:r>
      <w:r w:rsidR="00A854FF">
        <w:rPr>
          <w:lang w:val="en-GB"/>
        </w:rPr>
        <w:t>for</w:t>
      </w:r>
      <w:r>
        <w:rPr>
          <w:lang w:val="en-GB"/>
        </w:rPr>
        <w:t xml:space="preserve"> all citizens of the Czech Republic aged above 50, and involves two types of examination:</w:t>
      </w:r>
    </w:p>
    <w:p w14:paraId="0B71FF68" w14:textId="11AD1A3A" w:rsidR="00996BAC" w:rsidRDefault="00F86F64" w:rsidP="002865C5">
      <w:pPr>
        <w:pStyle w:val="ListParagraph"/>
        <w:numPr>
          <w:ilvl w:val="0"/>
          <w:numId w:val="1"/>
        </w:numPr>
        <w:rPr>
          <w:lang w:val="en-GB"/>
        </w:rPr>
      </w:pPr>
      <w:r>
        <w:rPr>
          <w:lang w:val="en-GB"/>
        </w:rPr>
        <w:t xml:space="preserve">Faecal occult blood test </w:t>
      </w:r>
      <w:r w:rsidRPr="00593BAE">
        <w:rPr>
          <w:b/>
          <w:lang w:val="en-GB"/>
        </w:rPr>
        <w:t>(</w:t>
      </w:r>
      <w:r w:rsidRPr="00593BAE">
        <w:rPr>
          <w:b/>
          <w:u w:val="single"/>
          <w:lang w:val="en-GB"/>
        </w:rPr>
        <w:t>available at GPs’ and gynaecologists’ practices</w:t>
      </w:r>
      <w:r w:rsidRPr="00593BAE">
        <w:rPr>
          <w:b/>
          <w:lang w:val="en-GB"/>
        </w:rPr>
        <w:t>)</w:t>
      </w:r>
    </w:p>
    <w:p w14:paraId="42620339" w14:textId="4C30074E" w:rsidR="002865C5" w:rsidRPr="00B91EC8" w:rsidRDefault="00593BAE" w:rsidP="00593BAE">
      <w:pPr>
        <w:pStyle w:val="ListParagraph"/>
        <w:numPr>
          <w:ilvl w:val="0"/>
          <w:numId w:val="1"/>
        </w:numPr>
        <w:rPr>
          <w:lang w:val="en-GB"/>
        </w:rPr>
      </w:pPr>
      <w:r>
        <w:rPr>
          <w:lang w:val="en-GB"/>
        </w:rPr>
        <w:t xml:space="preserve">Screening colonoscopy (performed by specialised gastroenterology facilities, their list is available at </w:t>
      </w:r>
      <w:hyperlink r:id="rId16" w:history="1">
        <w:r w:rsidRPr="00593BAE">
          <w:rPr>
            <w:rStyle w:val="Hyperlink"/>
            <w:lang w:val="en-GB"/>
          </w:rPr>
          <w:t>www.kolorektum.cz</w:t>
        </w:r>
      </w:hyperlink>
      <w:r>
        <w:rPr>
          <w:lang w:val="en-GB"/>
        </w:rPr>
        <w:t xml:space="preserve">, for example; </w:t>
      </w:r>
      <w:r w:rsidRPr="00593BAE">
        <w:rPr>
          <w:b/>
          <w:u w:val="single"/>
          <w:lang w:val="en-GB"/>
        </w:rPr>
        <w:t>a client is referred to this examination by his/her GP or gynaecologist</w:t>
      </w:r>
      <w:r>
        <w:rPr>
          <w:lang w:val="en-GB"/>
        </w:rPr>
        <w:t>)</w:t>
      </w:r>
    </w:p>
    <w:p w14:paraId="45228A88" w14:textId="2E14505F" w:rsidR="00B87643" w:rsidRPr="00B91EC8" w:rsidRDefault="001B0A30" w:rsidP="002865C5">
      <w:pPr>
        <w:rPr>
          <w:lang w:val="en-GB"/>
        </w:rPr>
      </w:pPr>
      <w:r w:rsidRPr="001B0A30">
        <w:rPr>
          <w:lang w:val="en-GB"/>
        </w:rPr>
        <w:t>The screening programme is divided into two categories, according to age groups of the target population (</w:t>
      </w:r>
      <w:r w:rsidRPr="00B25CA2">
        <w:rPr>
          <w:b/>
          <w:u w:val="single"/>
          <w:lang w:val="en-GB"/>
        </w:rPr>
        <w:t>Figure 4</w:t>
      </w:r>
      <w:r w:rsidRPr="001B0A30">
        <w:rPr>
          <w:lang w:val="en-GB"/>
        </w:rPr>
        <w:t xml:space="preserve">). A client aged 50–54 is entitled to have a free-of-charge faecal occult blood test (FOBT) each year, provided by his/her registering GP or gynaecologist. In case of a negative result (no blood in the stools), FOBT is performed again after one year. In case of a positive result (blood in the stools detected), the client is referred to a facility performing screening colonoscopy. If no cancer </w:t>
      </w:r>
      <w:r w:rsidR="00B25CA2">
        <w:rPr>
          <w:lang w:val="en-GB"/>
        </w:rPr>
        <w:t xml:space="preserve">is detected by colonoscopy, </w:t>
      </w:r>
      <w:r w:rsidRPr="001B0A30">
        <w:rPr>
          <w:lang w:val="en-GB"/>
        </w:rPr>
        <w:t>the screening programme will be suspended for 10 years for this client. A client aged over 55 can choose between FOBT (once per two years)</w:t>
      </w:r>
      <w:r w:rsidR="00953939">
        <w:rPr>
          <w:lang w:val="en-GB"/>
        </w:rPr>
        <w:t xml:space="preserve"> and</w:t>
      </w:r>
      <w:r w:rsidRPr="001B0A30">
        <w:rPr>
          <w:lang w:val="en-GB"/>
        </w:rPr>
        <w:t xml:space="preserve"> primary screening colonoscopy. The subsequent process is similar to that in the younger age group: colonoscopy follows after a positive result of FOBT, and another colonoscopic examination is performed 10 years after a negative result of colonoscopy.</w:t>
      </w:r>
    </w:p>
    <w:p w14:paraId="592961AA" w14:textId="123B89D8" w:rsidR="00C8177C" w:rsidRPr="00B91EC8" w:rsidRDefault="00B14A6D">
      <w:pPr>
        <w:rPr>
          <w:lang w:val="en-GB"/>
        </w:rPr>
      </w:pPr>
      <w:r w:rsidRPr="00B14A6D">
        <w:rPr>
          <w:lang w:val="en-GB"/>
        </w:rPr>
        <w:t xml:space="preserve">The Czech screening programme is organised, which means that there is a system guaranteeing its effectiveness and safety. The Czech Ministry of Health and its Colorectal Cancer Screening Committee are the main guarantors of the programme. The Committee involves representatives of the participating medical specialties (gastroenterologists, GPs, gynaecologists, oncologists), the Czech Ministry of Health, and health insurance companies. The programme effectiveness and safety is </w:t>
      </w:r>
      <w:r w:rsidRPr="00B14A6D">
        <w:rPr>
          <w:lang w:val="en-GB"/>
        </w:rPr>
        <w:lastRenderedPageBreak/>
        <w:t>monitored using data provided by the Czech National Reference Centre (data from health insurance companies) a</w:t>
      </w:r>
      <w:r w:rsidR="00C7615C">
        <w:rPr>
          <w:lang w:val="en-GB"/>
        </w:rPr>
        <w:t xml:space="preserve">nd by </w:t>
      </w:r>
      <w:r w:rsidRPr="00B14A6D">
        <w:rPr>
          <w:lang w:val="en-GB"/>
        </w:rPr>
        <w:t>individual facilities performing screening colonoscopies. Evaluation of this data is performed by the Institute of Biostatistics and Analyses of the Masaryk University, which also provides comprehensive background information for the programme.</w:t>
      </w:r>
    </w:p>
    <w:p w14:paraId="2394A3EE" w14:textId="218EB42F" w:rsidR="00D038EA" w:rsidRPr="00B91EC8" w:rsidRDefault="005316D3">
      <w:pPr>
        <w:rPr>
          <w:lang w:val="en-GB"/>
        </w:rPr>
      </w:pPr>
      <w:r w:rsidRPr="005316D3">
        <w:rPr>
          <w:lang w:val="en-GB"/>
        </w:rPr>
        <w:t xml:space="preserve">Partly due to discussions and conclusions of the first two years of the European Colorectal Cancer Days, a project of personalised invitations of citizens to cancer screening programme has been under way since the 1 January 2014. This step converted the Czech screening programme into a population-based one, ensuring the highest level of organisation according to criteria defined by the International Agency for Research on Cancer (IARC). Each insured person aged over 50, who has not participated in preventive checkup over the last few years, will obtain an invitation with detailed instructions on what he/she should do, and what examinations are performed as part of the screening programme. The objective of personalised invitations is to increase the insufficient participation rates in cancer screening programmes, particularly in colorectal cancer screening, where the participation rate only reached 26% before the introduction of personalised invitations. In order to achieve a drop in mortality rates from colorectal cancer on the population level, this proportion should be at least doubled. The project is accompanied by an education campaign, explaining the importance and benefits of preventive </w:t>
      </w:r>
      <w:r w:rsidR="000B534D">
        <w:rPr>
          <w:lang w:val="en-GB"/>
        </w:rPr>
        <w:t>examinations</w:t>
      </w:r>
      <w:r w:rsidRPr="005316D3">
        <w:rPr>
          <w:lang w:val="en-GB"/>
        </w:rPr>
        <w:t xml:space="preserve"> to target groups of the population. Non-profit organisations and patient organisations (Onkomajak, League Against Cancer, Czech ILCO and others) also make efforts to promote the screening programme and to inform the public.</w:t>
      </w:r>
    </w:p>
    <w:p w14:paraId="1861ADE4" w14:textId="073E0E55" w:rsidR="0036512D" w:rsidRPr="00B91EC8" w:rsidRDefault="00E152EC" w:rsidP="0036512D">
      <w:pPr>
        <w:rPr>
          <w:i/>
          <w:lang w:val="en-GB"/>
        </w:rPr>
      </w:pPr>
      <w:r>
        <w:rPr>
          <w:i/>
          <w:lang w:val="en-GB"/>
        </w:rPr>
        <w:t>Figure</w:t>
      </w:r>
      <w:r w:rsidR="0036512D" w:rsidRPr="00B91EC8">
        <w:rPr>
          <w:i/>
          <w:lang w:val="en-GB"/>
        </w:rPr>
        <w:t xml:space="preserve"> </w:t>
      </w:r>
      <w:r w:rsidR="00604E39" w:rsidRPr="00B91EC8">
        <w:rPr>
          <w:i/>
          <w:lang w:val="en-GB"/>
        </w:rPr>
        <w:t>4</w:t>
      </w:r>
      <w:r w:rsidR="0036512D" w:rsidRPr="00B91EC8">
        <w:rPr>
          <w:i/>
          <w:lang w:val="en-GB"/>
        </w:rPr>
        <w:t xml:space="preserve">: </w:t>
      </w:r>
      <w:r>
        <w:rPr>
          <w:lang w:val="en-GB"/>
        </w:rPr>
        <w:t xml:space="preserve">Schematic representation of CRC screening </w:t>
      </w:r>
      <w:r w:rsidR="0055348E">
        <w:rPr>
          <w:lang w:val="en-GB"/>
        </w:rPr>
        <w:t>process</w:t>
      </w:r>
      <w:r>
        <w:rPr>
          <w:lang w:val="en-GB"/>
        </w:rPr>
        <w:t xml:space="preserve"> in the Czech Republic </w:t>
      </w:r>
      <w:r w:rsidR="0055348E">
        <w:rPr>
          <w:lang w:val="en-GB"/>
        </w:rPr>
        <w:t>for</w:t>
      </w:r>
      <w:r>
        <w:rPr>
          <w:lang w:val="en-GB"/>
        </w:rPr>
        <w:t xml:space="preserve"> clients aged 50</w:t>
      </w:r>
      <w:r w:rsidRPr="00E152EC">
        <w:rPr>
          <w:lang w:val="en-GB"/>
        </w:rPr>
        <w:t>–</w:t>
      </w:r>
      <w:r>
        <w:rPr>
          <w:lang w:val="en-GB"/>
        </w:rPr>
        <w:t xml:space="preserve">54 years (on the left), and those aged 55 and above (on the right). </w:t>
      </w:r>
      <w:r>
        <w:rPr>
          <w:i/>
          <w:lang w:val="en-GB"/>
        </w:rPr>
        <w:t xml:space="preserve">Source: </w:t>
      </w:r>
      <w:r w:rsidRPr="00E152EC">
        <w:rPr>
          <w:lang w:val="en-GB"/>
        </w:rPr>
        <w:t>www.kolorektum.cz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638"/>
      </w:tblGrid>
      <w:tr w:rsidR="0036512D" w:rsidRPr="00B91EC8" w14:paraId="5884F7F5" w14:textId="77777777" w:rsidTr="00B668C1">
        <w:tc>
          <w:tcPr>
            <w:tcW w:w="4606" w:type="dxa"/>
          </w:tcPr>
          <w:p w14:paraId="7658C1CA" w14:textId="77777777" w:rsidR="0036512D" w:rsidRPr="00B91EC8" w:rsidRDefault="0036512D" w:rsidP="00B668C1">
            <w:pPr>
              <w:rPr>
                <w:lang w:val="en-GB"/>
              </w:rPr>
            </w:pPr>
            <w:r w:rsidRPr="00B91EC8">
              <w:rPr>
                <w:noProof/>
                <w:lang w:val="en-US"/>
              </w:rPr>
              <w:drawing>
                <wp:inline distT="0" distB="0" distL="0" distR="0" wp14:anchorId="471A06E3" wp14:editId="24D9D797">
                  <wp:extent cx="2826266" cy="2630224"/>
                  <wp:effectExtent l="0" t="0" r="0" b="11430"/>
                  <wp:docPr id="8"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826266" cy="2630224"/>
                          </a:xfrm>
                          <a:prstGeom prst="rect">
                            <a:avLst/>
                          </a:prstGeom>
                          <a:noFill/>
                          <a:ln w="9525">
                            <a:noFill/>
                            <a:miter lim="800000"/>
                            <a:headEnd/>
                            <a:tailEnd/>
                          </a:ln>
                        </pic:spPr>
                      </pic:pic>
                    </a:graphicData>
                  </a:graphic>
                </wp:inline>
              </w:drawing>
            </w:r>
          </w:p>
        </w:tc>
        <w:tc>
          <w:tcPr>
            <w:tcW w:w="4606" w:type="dxa"/>
          </w:tcPr>
          <w:p w14:paraId="460F6AE7" w14:textId="77777777" w:rsidR="0036512D" w:rsidRPr="00B91EC8" w:rsidRDefault="0036512D" w:rsidP="00B668C1">
            <w:pPr>
              <w:rPr>
                <w:lang w:val="en-GB"/>
              </w:rPr>
            </w:pPr>
            <w:r w:rsidRPr="00B91EC8">
              <w:rPr>
                <w:noProof/>
                <w:lang w:val="en-US"/>
              </w:rPr>
              <w:drawing>
                <wp:inline distT="0" distB="0" distL="0" distR="0" wp14:anchorId="742F322A" wp14:editId="24734212">
                  <wp:extent cx="2819048" cy="2139974"/>
                  <wp:effectExtent l="0" t="0" r="635" b="0"/>
                  <wp:docPr id="9"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819048" cy="2139974"/>
                          </a:xfrm>
                          <a:prstGeom prst="rect">
                            <a:avLst/>
                          </a:prstGeom>
                          <a:noFill/>
                          <a:ln w="9525">
                            <a:noFill/>
                            <a:miter lim="800000"/>
                            <a:headEnd/>
                            <a:tailEnd/>
                          </a:ln>
                        </pic:spPr>
                      </pic:pic>
                    </a:graphicData>
                  </a:graphic>
                </wp:inline>
              </w:drawing>
            </w:r>
          </w:p>
        </w:tc>
      </w:tr>
    </w:tbl>
    <w:p w14:paraId="17A42787" w14:textId="711837ED" w:rsidR="0055781D" w:rsidRPr="005316D3" w:rsidRDefault="00A96B33" w:rsidP="005316D3">
      <w:pPr>
        <w:pStyle w:val="Heading2"/>
        <w:rPr>
          <w:lang w:val="en-GB"/>
        </w:rPr>
      </w:pPr>
      <w:r w:rsidRPr="00B91EC8">
        <w:rPr>
          <w:lang w:val="en-GB"/>
        </w:rPr>
        <w:br w:type="page"/>
      </w:r>
      <w:r w:rsidR="001830C2" w:rsidRPr="001830C2">
        <w:rPr>
          <w:lang w:val="en-GB"/>
        </w:rPr>
        <w:lastRenderedPageBreak/>
        <w:t>Care for patients must be early, comprehensive, multidisciplinary</w:t>
      </w:r>
    </w:p>
    <w:p w14:paraId="0F8D219D" w14:textId="199CFB50" w:rsidR="0055781D" w:rsidRPr="00B91EC8" w:rsidRDefault="0055781D" w:rsidP="0055781D">
      <w:pPr>
        <w:pStyle w:val="Heading2"/>
        <w:spacing w:before="0" w:after="0"/>
        <w:rPr>
          <w:lang w:val="en-GB"/>
        </w:rPr>
      </w:pPr>
      <w:r w:rsidRPr="00B91EC8">
        <w:rPr>
          <w:lang w:val="en-GB"/>
        </w:rPr>
        <w:t>…</w:t>
      </w:r>
      <w:r w:rsidR="005D1B7F">
        <w:rPr>
          <w:lang w:val="en-GB"/>
        </w:rPr>
        <w:t xml:space="preserve"> </w:t>
      </w:r>
      <w:r w:rsidR="001830C2">
        <w:rPr>
          <w:lang w:val="en-GB"/>
        </w:rPr>
        <w:t>and available, above all</w:t>
      </w:r>
    </w:p>
    <w:p w14:paraId="344F4706" w14:textId="156AC05D" w:rsidR="0055781D" w:rsidRPr="00B91EC8" w:rsidRDefault="00495981" w:rsidP="00495981">
      <w:pPr>
        <w:rPr>
          <w:lang w:val="en-GB"/>
        </w:rPr>
      </w:pPr>
      <w:r w:rsidRPr="00495981">
        <w:rPr>
          <w:lang w:val="en-GB"/>
        </w:rPr>
        <w:t xml:space="preserve">Physicians of various specialties contribute to colorectal cancer diagnosis and treatment: GPs, gynaecologists and gastroenterologists are involved in CRC </w:t>
      </w:r>
      <w:r w:rsidR="00510235">
        <w:rPr>
          <w:lang w:val="en-GB"/>
        </w:rPr>
        <w:t>diagnosis</w:t>
      </w:r>
      <w:r w:rsidRPr="00495981">
        <w:rPr>
          <w:lang w:val="en-GB"/>
        </w:rPr>
        <w:t xml:space="preserve">, while oncologists, surgeons and radiotherapists participate in CRC treatment. The maximum benefit for the patient can be only achieved if these specialists cooperate effectively. Treatment of cancers, particularly the advanced ones, is concentrated to 13 Comprehensive Cancer Centres all across the Czech Republic; other health care facilities in the individual regions should cooperate with them closely. Despite the existence of cancer centres, there is much space for improvement in cancer care. Late diagnosis of CRC is not only the result of a low awareness of the general public, but also a consequence of insufficient activity of the primary care network: there are still huge differences among individual regions in the coverage of the target population by screening. The same phenomenon has been documented in the availability of care: a large proportion of patients at advanced stages of the disease have no access to specialised treatment in the network of Comprehensive Cancer Centres, whether it be surgical treatment or therapy by innovative drugs. Available data also point out a massive migration of patients among individual health care facilities, even in the course of treatment. Reimbursements for care, however, do not migrate with the patients; this complicates the situation for specialised centres, which are particularly burdened with </w:t>
      </w:r>
      <w:r w:rsidR="00BA0E5C">
        <w:rPr>
          <w:lang w:val="en-GB"/>
        </w:rPr>
        <w:t xml:space="preserve">patient </w:t>
      </w:r>
      <w:r w:rsidRPr="00495981">
        <w:rPr>
          <w:lang w:val="en-GB"/>
        </w:rPr>
        <w:t xml:space="preserve">migration. The motto “Right </w:t>
      </w:r>
      <w:r>
        <w:rPr>
          <w:lang w:val="en-GB"/>
        </w:rPr>
        <w:t xml:space="preserve">treatment for the right patient </w:t>
      </w:r>
      <w:r w:rsidRPr="00495981">
        <w:rPr>
          <w:lang w:val="en-GB"/>
        </w:rPr>
        <w:t xml:space="preserve">at the right time and in the right place” of the Czech National Cancer Control Programme, which was adopted by the Czech Society for Oncology in 2003 </w:t>
      </w:r>
      <w:r w:rsidR="003D07B4">
        <w:rPr>
          <w:lang w:val="en-GB"/>
        </w:rPr>
        <w:t>(</w:t>
      </w:r>
      <w:r w:rsidRPr="00495981">
        <w:rPr>
          <w:lang w:val="en-GB"/>
        </w:rPr>
        <w:t xml:space="preserve">and </w:t>
      </w:r>
      <w:r w:rsidR="003D07B4">
        <w:rPr>
          <w:lang w:val="en-GB"/>
        </w:rPr>
        <w:t>revised</w:t>
      </w:r>
      <w:r w:rsidRPr="00495981">
        <w:rPr>
          <w:lang w:val="en-GB"/>
        </w:rPr>
        <w:t xml:space="preserve"> in 2013</w:t>
      </w:r>
      <w:r w:rsidR="003D07B4">
        <w:rPr>
          <w:lang w:val="en-GB"/>
        </w:rPr>
        <w:t>)</w:t>
      </w:r>
      <w:r w:rsidRPr="00495981">
        <w:rPr>
          <w:lang w:val="en-GB"/>
        </w:rPr>
        <w:t>, has therefore not been satisfactorily fulfilled yet.</w:t>
      </w:r>
    </w:p>
    <w:p w14:paraId="6064737D" w14:textId="7D087693" w:rsidR="002548FF" w:rsidRPr="00B91EC8" w:rsidRDefault="00404E0A" w:rsidP="002548FF">
      <w:pPr>
        <w:pStyle w:val="Heading2"/>
        <w:rPr>
          <w:lang w:val="en-GB"/>
        </w:rPr>
      </w:pPr>
      <w:r>
        <w:rPr>
          <w:lang w:val="en-GB"/>
        </w:rPr>
        <w:t>Primary prevention is key</w:t>
      </w:r>
    </w:p>
    <w:p w14:paraId="08AF791A" w14:textId="2F7E149D" w:rsidR="0059388A" w:rsidRPr="00B91EC8" w:rsidRDefault="00FB6D25">
      <w:pPr>
        <w:rPr>
          <w:lang w:val="en-GB"/>
        </w:rPr>
      </w:pPr>
      <w:r w:rsidRPr="00FB6D25">
        <w:rPr>
          <w:lang w:val="en-GB"/>
        </w:rPr>
        <w:t xml:space="preserve">Risk factors for cancer, including colorectal cancer, are generally known. Apart from </w:t>
      </w:r>
      <w:r w:rsidR="00607911" w:rsidRPr="00FB6D25">
        <w:rPr>
          <w:lang w:val="en-GB"/>
        </w:rPr>
        <w:t>factors that</w:t>
      </w:r>
      <w:r w:rsidRPr="00FB6D25">
        <w:rPr>
          <w:lang w:val="en-GB"/>
        </w:rPr>
        <w:t xml:space="preserve"> can only hardly be influenced by an individual (</w:t>
      </w:r>
      <w:r w:rsidR="00607911">
        <w:rPr>
          <w:lang w:val="en-GB"/>
        </w:rPr>
        <w:t>such as the genetic predisposition or</w:t>
      </w:r>
      <w:r w:rsidRPr="00FB6D25">
        <w:rPr>
          <w:lang w:val="en-GB"/>
        </w:rPr>
        <w:t xml:space="preserve"> environmental contamination), </w:t>
      </w:r>
      <w:r w:rsidR="00FC1690">
        <w:rPr>
          <w:lang w:val="en-GB"/>
        </w:rPr>
        <w:t>the risk factors</w:t>
      </w:r>
      <w:r w:rsidRPr="00FB6D25">
        <w:rPr>
          <w:lang w:val="en-GB"/>
        </w:rPr>
        <w:t xml:space="preserve"> involve smoking, excessive consumption of red meats, processed meats and alcohol, lack of physical exercise, and other typical features of the so-called “Western” lifestyle. This is one of the reasons why the highest CRC incidence rates </w:t>
      </w:r>
      <w:r w:rsidR="00C13CEE">
        <w:rPr>
          <w:lang w:val="en-GB"/>
        </w:rPr>
        <w:t xml:space="preserve">have been </w:t>
      </w:r>
      <w:r w:rsidR="00232C94">
        <w:rPr>
          <w:lang w:val="en-GB"/>
        </w:rPr>
        <w:t xml:space="preserve">repeatedly </w:t>
      </w:r>
      <w:r w:rsidRPr="00FB6D25">
        <w:rPr>
          <w:lang w:val="en-GB"/>
        </w:rPr>
        <w:t xml:space="preserve">reported in Europe and North America. Comparison of individual countries </w:t>
      </w:r>
      <w:r w:rsidR="00BE6878">
        <w:rPr>
          <w:lang w:val="en-GB"/>
        </w:rPr>
        <w:t>based on</w:t>
      </w:r>
      <w:r w:rsidRPr="00FB6D25">
        <w:rPr>
          <w:lang w:val="en-GB"/>
        </w:rPr>
        <w:t xml:space="preserve"> the population health </w:t>
      </w:r>
      <w:r w:rsidR="002C3C40">
        <w:rPr>
          <w:lang w:val="en-GB"/>
        </w:rPr>
        <w:t xml:space="preserve">(and health care systems) </w:t>
      </w:r>
      <w:r w:rsidRPr="00FB6D25">
        <w:rPr>
          <w:lang w:val="en-GB"/>
        </w:rPr>
        <w:t xml:space="preserve">is regularly performed by the Organisation for Economic Co-operation and Development (OECD) in the publication “Health at a Glance”. When compared to international statistics, the Czech Republic has rather gloomy outlooks: the consumption of alcohol per capita is one of the highest among </w:t>
      </w:r>
      <w:r w:rsidR="00753440">
        <w:rPr>
          <w:lang w:val="en-GB"/>
        </w:rPr>
        <w:t xml:space="preserve">the </w:t>
      </w:r>
      <w:r w:rsidRPr="00FB6D25">
        <w:rPr>
          <w:lang w:val="en-GB"/>
        </w:rPr>
        <w:t>OECD countries, the prevalence of obesity has seen a significant rise, and smoking rates have actually increased in the past decades, in contrast to other European countries. The promotion of primary prevention by the lawmakers, authorities and the Ministry of Health itself is inadequate. According to OECD experts, “a comprehensive approach is needed to reduce risk factors for cancer and improve lifestyles, involving all stakeholders such as industry, the entire population (including children and their parents), and health care providers including primary care doctors”.</w:t>
      </w:r>
    </w:p>
    <w:p w14:paraId="4EC58321" w14:textId="3BEF7791" w:rsidR="002548FF" w:rsidRPr="00B91EC8" w:rsidRDefault="00044831">
      <w:pPr>
        <w:rPr>
          <w:lang w:val="en-GB"/>
        </w:rPr>
      </w:pPr>
      <w:r w:rsidRPr="00044831">
        <w:rPr>
          <w:lang w:val="en-GB"/>
        </w:rPr>
        <w:t>In the context of the above-mentioned facts, and taking into account ageing</w:t>
      </w:r>
      <w:r w:rsidR="00E92408">
        <w:rPr>
          <w:lang w:val="en-GB"/>
        </w:rPr>
        <w:t xml:space="preserve"> of the</w:t>
      </w:r>
      <w:r w:rsidRPr="00044831">
        <w:rPr>
          <w:lang w:val="en-GB"/>
        </w:rPr>
        <w:t xml:space="preserve"> Czech population, a further rise in the prevalence of cancer patients can be expected, </w:t>
      </w:r>
      <w:r w:rsidR="009976F8">
        <w:rPr>
          <w:lang w:val="en-GB"/>
        </w:rPr>
        <w:t>with</w:t>
      </w:r>
      <w:bookmarkStart w:id="0" w:name="_GoBack"/>
      <w:bookmarkEnd w:id="0"/>
      <w:r w:rsidRPr="00044831">
        <w:rPr>
          <w:lang w:val="en-GB"/>
        </w:rPr>
        <w:t xml:space="preserve"> inevitable social and financial consequences.</w:t>
      </w:r>
    </w:p>
    <w:p w14:paraId="0A447B08" w14:textId="77777777" w:rsidR="00723175" w:rsidRPr="00B91EC8" w:rsidRDefault="00723175" w:rsidP="007E433D">
      <w:pPr>
        <w:pStyle w:val="Heading2"/>
        <w:rPr>
          <w:lang w:val="en-GB"/>
        </w:rPr>
      </w:pPr>
    </w:p>
    <w:p w14:paraId="65804402" w14:textId="3174E46B" w:rsidR="007E433D" w:rsidRPr="00044831" w:rsidRDefault="007E433D" w:rsidP="00044831">
      <w:pPr>
        <w:pStyle w:val="Heading2"/>
        <w:rPr>
          <w:lang w:val="en-GB"/>
        </w:rPr>
      </w:pPr>
      <w:r w:rsidRPr="00B91EC8">
        <w:rPr>
          <w:lang w:val="en-GB"/>
        </w:rPr>
        <w:t>Informa</w:t>
      </w:r>
      <w:r w:rsidR="00044831">
        <w:rPr>
          <w:lang w:val="en-GB"/>
        </w:rPr>
        <w:t>tion sources on colorectal cancer</w:t>
      </w:r>
    </w:p>
    <w:p w14:paraId="04BDFB3D" w14:textId="55703E98" w:rsidR="007E433D" w:rsidRPr="00B91EC8" w:rsidRDefault="00D30ECF" w:rsidP="007E433D">
      <w:pPr>
        <w:pStyle w:val="ListParagraph"/>
        <w:numPr>
          <w:ilvl w:val="0"/>
          <w:numId w:val="2"/>
        </w:numPr>
        <w:rPr>
          <w:lang w:val="en-GB"/>
        </w:rPr>
      </w:pPr>
      <w:hyperlink r:id="rId19" w:history="1">
        <w:r w:rsidR="007E433D" w:rsidRPr="00B91EC8">
          <w:rPr>
            <w:rStyle w:val="Hyperlink"/>
            <w:lang w:val="en-GB"/>
          </w:rPr>
          <w:t>www.kolorektum.cz</w:t>
        </w:r>
      </w:hyperlink>
      <w:r w:rsidR="007E433D" w:rsidRPr="00B91EC8">
        <w:rPr>
          <w:lang w:val="en-GB"/>
        </w:rPr>
        <w:t xml:space="preserve"> –</w:t>
      </w:r>
      <w:r w:rsidR="00437F8C" w:rsidRPr="00B91EC8">
        <w:rPr>
          <w:lang w:val="en-GB"/>
        </w:rPr>
        <w:t xml:space="preserve"> </w:t>
      </w:r>
      <w:r w:rsidR="00044831" w:rsidRPr="00044831">
        <w:rPr>
          <w:lang w:val="en-GB"/>
        </w:rPr>
        <w:t>Colorectal Cancer Screening Programme in the Czech Republic</w:t>
      </w:r>
    </w:p>
    <w:p w14:paraId="075C145A" w14:textId="7506E50B" w:rsidR="007E433D" w:rsidRPr="00B91EC8" w:rsidRDefault="00D30ECF" w:rsidP="007E433D">
      <w:pPr>
        <w:pStyle w:val="ListParagraph"/>
        <w:numPr>
          <w:ilvl w:val="0"/>
          <w:numId w:val="2"/>
        </w:numPr>
        <w:rPr>
          <w:lang w:val="en-GB"/>
        </w:rPr>
      </w:pPr>
      <w:hyperlink r:id="rId20" w:history="1">
        <w:r w:rsidR="007E433D" w:rsidRPr="00B91EC8">
          <w:rPr>
            <w:rStyle w:val="Hyperlink"/>
            <w:lang w:val="en-GB"/>
          </w:rPr>
          <w:t>www.onconet.cz</w:t>
        </w:r>
      </w:hyperlink>
      <w:r w:rsidR="007E433D" w:rsidRPr="00B91EC8">
        <w:rPr>
          <w:lang w:val="en-GB"/>
        </w:rPr>
        <w:t xml:space="preserve"> – </w:t>
      </w:r>
      <w:r w:rsidR="00044831">
        <w:rPr>
          <w:lang w:val="en-GB"/>
        </w:rPr>
        <w:t>Czech National Cancer Screening Programme</w:t>
      </w:r>
    </w:p>
    <w:p w14:paraId="72857538" w14:textId="6D1318E6" w:rsidR="007E433D" w:rsidRPr="00B91EC8" w:rsidRDefault="00D30ECF" w:rsidP="007E433D">
      <w:pPr>
        <w:pStyle w:val="ListParagraph"/>
        <w:numPr>
          <w:ilvl w:val="0"/>
          <w:numId w:val="2"/>
        </w:numPr>
        <w:rPr>
          <w:lang w:val="en-GB"/>
        </w:rPr>
      </w:pPr>
      <w:hyperlink r:id="rId21" w:history="1">
        <w:r w:rsidR="007E433D" w:rsidRPr="00B91EC8">
          <w:rPr>
            <w:rStyle w:val="Hyperlink"/>
            <w:lang w:val="en-GB"/>
          </w:rPr>
          <w:t>www.linkos.cz</w:t>
        </w:r>
      </w:hyperlink>
      <w:r w:rsidR="007E433D" w:rsidRPr="00B91EC8">
        <w:rPr>
          <w:lang w:val="en-GB"/>
        </w:rPr>
        <w:t xml:space="preserve"> – </w:t>
      </w:r>
      <w:r w:rsidR="00044831">
        <w:rPr>
          <w:lang w:val="en-GB"/>
        </w:rPr>
        <w:t>Czech Society for Oncology</w:t>
      </w:r>
    </w:p>
    <w:p w14:paraId="04EECBD9" w14:textId="6CF0E0EF" w:rsidR="007E433D" w:rsidRPr="00B91EC8" w:rsidRDefault="00D30ECF" w:rsidP="007E433D">
      <w:pPr>
        <w:pStyle w:val="ListParagraph"/>
        <w:numPr>
          <w:ilvl w:val="0"/>
          <w:numId w:val="2"/>
        </w:numPr>
        <w:rPr>
          <w:lang w:val="en-GB"/>
        </w:rPr>
      </w:pPr>
      <w:hyperlink r:id="rId22" w:history="1">
        <w:r w:rsidR="007E433D" w:rsidRPr="00B91EC8">
          <w:rPr>
            <w:rStyle w:val="Hyperlink"/>
            <w:lang w:val="en-GB"/>
          </w:rPr>
          <w:t>www.svod.cz</w:t>
        </w:r>
      </w:hyperlink>
      <w:r w:rsidR="007E433D" w:rsidRPr="00B91EC8">
        <w:rPr>
          <w:lang w:val="en-GB"/>
        </w:rPr>
        <w:t xml:space="preserve"> – </w:t>
      </w:r>
      <w:r w:rsidR="00044831">
        <w:rPr>
          <w:lang w:val="en-GB"/>
        </w:rPr>
        <w:t>Cancer epidemiology in the Czech Republic on-line</w:t>
      </w:r>
    </w:p>
    <w:p w14:paraId="53FB434C" w14:textId="352AFB16" w:rsidR="00F07819" w:rsidRPr="00B91EC8" w:rsidRDefault="00044831" w:rsidP="004A781D">
      <w:pPr>
        <w:pStyle w:val="Heading2"/>
        <w:rPr>
          <w:lang w:val="en-GB"/>
        </w:rPr>
      </w:pPr>
      <w:r>
        <w:rPr>
          <w:lang w:val="en-GB"/>
        </w:rPr>
        <w:t>Literature</w:t>
      </w:r>
    </w:p>
    <w:p w14:paraId="6951A1C9" w14:textId="77777777" w:rsidR="00646783" w:rsidRPr="00B91EC8" w:rsidRDefault="00646783" w:rsidP="00646783">
      <w:pPr>
        <w:rPr>
          <w:sz w:val="20"/>
          <w:szCs w:val="20"/>
          <w:lang w:val="en-GB"/>
        </w:rPr>
      </w:pPr>
      <w:r w:rsidRPr="00B91EC8">
        <w:rPr>
          <w:sz w:val="20"/>
          <w:szCs w:val="20"/>
          <w:lang w:val="en-GB"/>
        </w:rPr>
        <w:t>De Angelis R, Sant M, Coleman MP, Francisci S, Baili P, Pierannunzio D, Trama A, Visser O, Brenner H, Ardanaz E, Bielska-Lasota M, Engholm G, Nennecke A, Siesling S, Berrino F, Capocaccia R; EUROCARE-5 Working Group. Cancer survival in Europe 1999-2007 by country and age: results of EUROCARE-5-a population-based study. Lancet Oncol 2014; 15(1): 23–34. DOI: 10.1016/S1470-2045(13)70546-1</w:t>
      </w:r>
    </w:p>
    <w:p w14:paraId="7BB87A6D" w14:textId="77777777" w:rsidR="007824EF" w:rsidRPr="00B91EC8" w:rsidRDefault="007824EF" w:rsidP="00646783">
      <w:pPr>
        <w:rPr>
          <w:sz w:val="20"/>
          <w:szCs w:val="20"/>
          <w:lang w:val="en-GB"/>
        </w:rPr>
      </w:pPr>
      <w:r w:rsidRPr="00B91EC8">
        <w:rPr>
          <w:sz w:val="20"/>
          <w:szCs w:val="20"/>
          <w:lang w:val="en-GB"/>
        </w:rPr>
        <w:t xml:space="preserve">Ferlay J, Soerjomataram I, Ervik M, Dikshit R, Eser S, Mathers C, Rebelo M, Parkin DM, Forman D, Bray, F.GLOBOCAN 2012 v1.0, Cancer Incidence and Mortality Worldwide: IARC CancerBase No. 11 [Internet]. Lyon, France: International Agency for Research on Cancer; 2013. Available from: </w:t>
      </w:r>
      <w:hyperlink r:id="rId23" w:history="1">
        <w:r w:rsidR="00A537E3" w:rsidRPr="00B91EC8">
          <w:rPr>
            <w:rStyle w:val="Hyperlink"/>
            <w:sz w:val="20"/>
            <w:szCs w:val="20"/>
            <w:lang w:val="en-GB"/>
          </w:rPr>
          <w:t>http://globocan.iarc.fr</w:t>
        </w:r>
      </w:hyperlink>
      <w:r w:rsidRPr="00B91EC8">
        <w:rPr>
          <w:sz w:val="20"/>
          <w:szCs w:val="20"/>
          <w:lang w:val="en-GB"/>
        </w:rPr>
        <w:t>.</w:t>
      </w:r>
      <w:r w:rsidR="00A537E3" w:rsidRPr="00B91EC8">
        <w:rPr>
          <w:sz w:val="20"/>
          <w:szCs w:val="20"/>
          <w:lang w:val="en-GB"/>
        </w:rPr>
        <w:t xml:space="preserve"> Accessed on 14/05/2015</w:t>
      </w:r>
    </w:p>
    <w:p w14:paraId="6F3DA2B4" w14:textId="77777777" w:rsidR="00CF4EF3" w:rsidRPr="00B91EC8" w:rsidRDefault="00CF4EF3" w:rsidP="00CF4EF3">
      <w:pPr>
        <w:rPr>
          <w:sz w:val="20"/>
          <w:szCs w:val="20"/>
          <w:lang w:val="en-GB"/>
        </w:rPr>
      </w:pPr>
      <w:r w:rsidRPr="00B91EC8">
        <w:rPr>
          <w:sz w:val="20"/>
          <w:szCs w:val="20"/>
          <w:lang w:val="en-GB"/>
        </w:rPr>
        <w:t>OECD. Health at a Glance:</w:t>
      </w:r>
      <w:r w:rsidR="00A13250" w:rsidRPr="00B91EC8">
        <w:rPr>
          <w:sz w:val="20"/>
          <w:szCs w:val="20"/>
          <w:lang w:val="en-GB"/>
        </w:rPr>
        <w:t xml:space="preserve"> Europe 2014</w:t>
      </w:r>
      <w:r w:rsidRPr="00B91EC8">
        <w:rPr>
          <w:sz w:val="20"/>
          <w:szCs w:val="20"/>
          <w:lang w:val="en-GB"/>
        </w:rPr>
        <w:t>. OECD Publishing 201</w:t>
      </w:r>
      <w:r w:rsidR="00A13250" w:rsidRPr="00B91EC8">
        <w:rPr>
          <w:sz w:val="20"/>
          <w:szCs w:val="20"/>
          <w:lang w:val="en-GB"/>
        </w:rPr>
        <w:t>4</w:t>
      </w:r>
      <w:r w:rsidRPr="00B91EC8">
        <w:rPr>
          <w:sz w:val="20"/>
          <w:szCs w:val="20"/>
          <w:lang w:val="en-GB"/>
        </w:rPr>
        <w:t xml:space="preserve">. </w:t>
      </w:r>
      <w:hyperlink r:id="rId24" w:history="1">
        <w:r w:rsidR="00A13250" w:rsidRPr="00B91EC8">
          <w:rPr>
            <w:rStyle w:val="Hyperlink"/>
            <w:sz w:val="20"/>
            <w:szCs w:val="20"/>
            <w:lang w:val="en-GB"/>
          </w:rPr>
          <w:t>http://dx.doi.org/10.1787/health_glance_eur-2014-en</w:t>
        </w:r>
      </w:hyperlink>
    </w:p>
    <w:p w14:paraId="2A97BE04" w14:textId="77777777" w:rsidR="0059388A" w:rsidRPr="00B91EC8" w:rsidRDefault="0059388A" w:rsidP="00CF4EF3">
      <w:pPr>
        <w:rPr>
          <w:sz w:val="20"/>
          <w:szCs w:val="20"/>
          <w:lang w:val="en-GB"/>
        </w:rPr>
      </w:pPr>
      <w:r w:rsidRPr="00B91EC8">
        <w:rPr>
          <w:sz w:val="20"/>
          <w:szCs w:val="20"/>
          <w:lang w:val="en-GB"/>
        </w:rPr>
        <w:t xml:space="preserve">OECD. Cancer Care: Assuring Quality to Improve Survival. Country note – Czech Republic. OECD Publishing, 2014. </w:t>
      </w:r>
      <w:hyperlink r:id="rId25" w:history="1">
        <w:r w:rsidR="00A13250" w:rsidRPr="00B91EC8">
          <w:rPr>
            <w:rStyle w:val="Hyperlink"/>
            <w:sz w:val="20"/>
            <w:szCs w:val="20"/>
            <w:lang w:val="en-GB"/>
          </w:rPr>
          <w:t>http://www.oecd.org/els/health-systems/Cancer-Care-Czech-Republic-2013.pdf</w:t>
        </w:r>
      </w:hyperlink>
    </w:p>
    <w:p w14:paraId="1A616537" w14:textId="77777777" w:rsidR="00934224" w:rsidRPr="00B91EC8" w:rsidRDefault="00646783" w:rsidP="00B23EF9">
      <w:pPr>
        <w:pStyle w:val="NoSpacing"/>
        <w:rPr>
          <w:sz w:val="20"/>
          <w:szCs w:val="20"/>
          <w:lang w:val="en-GB"/>
        </w:rPr>
      </w:pPr>
      <w:r w:rsidRPr="00B91EC8">
        <w:rPr>
          <w:sz w:val="20"/>
          <w:szCs w:val="20"/>
          <w:lang w:val="en-GB"/>
        </w:rPr>
        <w:t>Pavlík T, Májek O, Büchler T, Vyzula R, Petera J, Ryska M, Ryška A, Cibula D, Babjuk M, Abrahámová J, Vorlíček J, Mužík J, Dušek L. Trends in stage-specific population-based survival of cancer patients in the Czech Republic in the period 2000-2008. Cancer Epidemiol 2014; 38(1): 28-34. D</w:t>
      </w:r>
      <w:r w:rsidR="001C6D15" w:rsidRPr="00B91EC8">
        <w:rPr>
          <w:sz w:val="20"/>
          <w:szCs w:val="20"/>
          <w:lang w:val="en-GB"/>
        </w:rPr>
        <w:t>OI: 10.1016/j.canep.2013.11.002</w:t>
      </w:r>
    </w:p>
    <w:p w14:paraId="2574A694" w14:textId="77777777" w:rsidR="00267216" w:rsidRPr="00B91EC8" w:rsidRDefault="00267216">
      <w:pPr>
        <w:rPr>
          <w:sz w:val="20"/>
          <w:szCs w:val="20"/>
          <w:lang w:val="en-GB"/>
        </w:rPr>
      </w:pPr>
    </w:p>
    <w:p w14:paraId="07274D11" w14:textId="77777777" w:rsidR="00267216" w:rsidRPr="00B91EC8" w:rsidRDefault="00267216">
      <w:pPr>
        <w:rPr>
          <w:lang w:val="en-GB"/>
        </w:rPr>
      </w:pPr>
    </w:p>
    <w:sectPr w:rsidR="00267216" w:rsidRPr="00B91EC8" w:rsidSect="00E215E5">
      <w:headerReference w:type="default" r:id="rId26"/>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01C25" w14:textId="77777777" w:rsidR="00753440" w:rsidRDefault="00753440" w:rsidP="0026595F">
      <w:pPr>
        <w:spacing w:after="0" w:line="240" w:lineRule="auto"/>
      </w:pPr>
      <w:r>
        <w:separator/>
      </w:r>
    </w:p>
  </w:endnote>
  <w:endnote w:type="continuationSeparator" w:id="0">
    <w:p w14:paraId="20F89DAB" w14:textId="77777777" w:rsidR="00753440" w:rsidRDefault="00753440" w:rsidP="00265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74A2B" w14:textId="77777777" w:rsidR="00753440" w:rsidRDefault="00753440" w:rsidP="0026595F">
      <w:pPr>
        <w:spacing w:after="0" w:line="240" w:lineRule="auto"/>
      </w:pPr>
      <w:r>
        <w:separator/>
      </w:r>
    </w:p>
  </w:footnote>
  <w:footnote w:type="continuationSeparator" w:id="0">
    <w:p w14:paraId="16A87B39" w14:textId="77777777" w:rsidR="00753440" w:rsidRDefault="00753440" w:rsidP="0026595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ECCFE" w14:textId="77777777" w:rsidR="00753440" w:rsidRDefault="00753440" w:rsidP="0026595F">
    <w:pPr>
      <w:pStyle w:val="Header"/>
      <w:jc w:val="right"/>
    </w:pPr>
    <w:r>
      <w:rPr>
        <w:noProof/>
        <w:lang w:val="en-US"/>
      </w:rPr>
      <w:drawing>
        <wp:inline distT="0" distB="0" distL="0" distR="0" wp14:anchorId="468A32D5" wp14:editId="3ECCE733">
          <wp:extent cx="5756910" cy="874395"/>
          <wp:effectExtent l="0" t="0" r="0" b="0"/>
          <wp:docPr id="3" name="Obrázek 3" descr="C:\Jakub\crcprevention.eu\web\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akub\crcprevention.eu\web\defaul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874395"/>
                  </a:xfrm>
                  <a:prstGeom prst="rect">
                    <a:avLst/>
                  </a:prstGeom>
                  <a:noFill/>
                  <a:ln>
                    <a:noFill/>
                  </a:ln>
                </pic:spPr>
              </pic:pic>
            </a:graphicData>
          </a:graphic>
        </wp:inline>
      </w:drawing>
    </w:r>
  </w:p>
  <w:p w14:paraId="61AB006B" w14:textId="77777777" w:rsidR="00753440" w:rsidRDefault="00753440" w:rsidP="0026595F">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A0317"/>
    <w:multiLevelType w:val="hybridMultilevel"/>
    <w:tmpl w:val="8468FB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4C843AE"/>
    <w:multiLevelType w:val="hybridMultilevel"/>
    <w:tmpl w:val="683E8D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1287A97"/>
    <w:multiLevelType w:val="hybridMultilevel"/>
    <w:tmpl w:val="7E749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259"/>
    <w:rsid w:val="00004162"/>
    <w:rsid w:val="00005241"/>
    <w:rsid w:val="000116B4"/>
    <w:rsid w:val="00015D8B"/>
    <w:rsid w:val="00034DC9"/>
    <w:rsid w:val="00043954"/>
    <w:rsid w:val="00044831"/>
    <w:rsid w:val="0007290B"/>
    <w:rsid w:val="00095BC5"/>
    <w:rsid w:val="000A4401"/>
    <w:rsid w:val="000A7C11"/>
    <w:rsid w:val="000B1EB1"/>
    <w:rsid w:val="000B534D"/>
    <w:rsid w:val="000C1ACA"/>
    <w:rsid w:val="000C58E2"/>
    <w:rsid w:val="000C75E3"/>
    <w:rsid w:val="000D3A1A"/>
    <w:rsid w:val="000D447E"/>
    <w:rsid w:val="000E0E6F"/>
    <w:rsid w:val="000E564A"/>
    <w:rsid w:val="000F24CD"/>
    <w:rsid w:val="000F45F4"/>
    <w:rsid w:val="000F7F1D"/>
    <w:rsid w:val="00114DA1"/>
    <w:rsid w:val="00130C84"/>
    <w:rsid w:val="00137058"/>
    <w:rsid w:val="00137974"/>
    <w:rsid w:val="001407C3"/>
    <w:rsid w:val="00144568"/>
    <w:rsid w:val="001506DE"/>
    <w:rsid w:val="00160468"/>
    <w:rsid w:val="00162168"/>
    <w:rsid w:val="001830C2"/>
    <w:rsid w:val="001B0A30"/>
    <w:rsid w:val="001B3F29"/>
    <w:rsid w:val="001C34CD"/>
    <w:rsid w:val="001C6D15"/>
    <w:rsid w:val="001D4E87"/>
    <w:rsid w:val="00201978"/>
    <w:rsid w:val="002107C2"/>
    <w:rsid w:val="0021281C"/>
    <w:rsid w:val="00213B36"/>
    <w:rsid w:val="002219FB"/>
    <w:rsid w:val="00231235"/>
    <w:rsid w:val="00232C94"/>
    <w:rsid w:val="0023323A"/>
    <w:rsid w:val="002548FF"/>
    <w:rsid w:val="002573D3"/>
    <w:rsid w:val="00261434"/>
    <w:rsid w:val="00264422"/>
    <w:rsid w:val="0026595F"/>
    <w:rsid w:val="00267216"/>
    <w:rsid w:val="002832C1"/>
    <w:rsid w:val="002865C5"/>
    <w:rsid w:val="002A0766"/>
    <w:rsid w:val="002A2C52"/>
    <w:rsid w:val="002A7F08"/>
    <w:rsid w:val="002B298D"/>
    <w:rsid w:val="002C3C40"/>
    <w:rsid w:val="002D55FA"/>
    <w:rsid w:val="002F4076"/>
    <w:rsid w:val="002F45F0"/>
    <w:rsid w:val="00300FBD"/>
    <w:rsid w:val="00302B7D"/>
    <w:rsid w:val="003076D9"/>
    <w:rsid w:val="00310219"/>
    <w:rsid w:val="003125A4"/>
    <w:rsid w:val="00315FE9"/>
    <w:rsid w:val="00321FD0"/>
    <w:rsid w:val="0032223F"/>
    <w:rsid w:val="003248C7"/>
    <w:rsid w:val="00324B76"/>
    <w:rsid w:val="003404A7"/>
    <w:rsid w:val="00346E97"/>
    <w:rsid w:val="00352DE2"/>
    <w:rsid w:val="00353B6F"/>
    <w:rsid w:val="00355FDF"/>
    <w:rsid w:val="003648EF"/>
    <w:rsid w:val="0036512D"/>
    <w:rsid w:val="00374142"/>
    <w:rsid w:val="00390DB1"/>
    <w:rsid w:val="003951F7"/>
    <w:rsid w:val="0039610C"/>
    <w:rsid w:val="00397A84"/>
    <w:rsid w:val="003B3489"/>
    <w:rsid w:val="003D021B"/>
    <w:rsid w:val="003D07B4"/>
    <w:rsid w:val="003D3A57"/>
    <w:rsid w:val="003D73F7"/>
    <w:rsid w:val="003D796F"/>
    <w:rsid w:val="003E1672"/>
    <w:rsid w:val="003E29D8"/>
    <w:rsid w:val="003F2A64"/>
    <w:rsid w:val="003F6904"/>
    <w:rsid w:val="00404E0A"/>
    <w:rsid w:val="00410AF2"/>
    <w:rsid w:val="0041115A"/>
    <w:rsid w:val="004116A6"/>
    <w:rsid w:val="00437552"/>
    <w:rsid w:val="00437F8C"/>
    <w:rsid w:val="00442571"/>
    <w:rsid w:val="0044596E"/>
    <w:rsid w:val="00445EC0"/>
    <w:rsid w:val="0045569A"/>
    <w:rsid w:val="004559A1"/>
    <w:rsid w:val="00457F64"/>
    <w:rsid w:val="0047034A"/>
    <w:rsid w:val="0048292C"/>
    <w:rsid w:val="00495981"/>
    <w:rsid w:val="004A3780"/>
    <w:rsid w:val="004A781D"/>
    <w:rsid w:val="004B7EC2"/>
    <w:rsid w:val="004C50D7"/>
    <w:rsid w:val="004E0FC4"/>
    <w:rsid w:val="004E1B5B"/>
    <w:rsid w:val="004F61A0"/>
    <w:rsid w:val="00502108"/>
    <w:rsid w:val="00510235"/>
    <w:rsid w:val="00522637"/>
    <w:rsid w:val="005316D3"/>
    <w:rsid w:val="00533312"/>
    <w:rsid w:val="0054639F"/>
    <w:rsid w:val="00547D7D"/>
    <w:rsid w:val="0055089F"/>
    <w:rsid w:val="0055348E"/>
    <w:rsid w:val="005547BD"/>
    <w:rsid w:val="00555BED"/>
    <w:rsid w:val="0055781D"/>
    <w:rsid w:val="0056024D"/>
    <w:rsid w:val="00565867"/>
    <w:rsid w:val="005675B5"/>
    <w:rsid w:val="00580AA5"/>
    <w:rsid w:val="005835AD"/>
    <w:rsid w:val="0059388A"/>
    <w:rsid w:val="00593BAE"/>
    <w:rsid w:val="005958A5"/>
    <w:rsid w:val="005A6C47"/>
    <w:rsid w:val="005C0A39"/>
    <w:rsid w:val="005C6E8A"/>
    <w:rsid w:val="005C7213"/>
    <w:rsid w:val="005D1B7F"/>
    <w:rsid w:val="005D4EF7"/>
    <w:rsid w:val="005D7FE8"/>
    <w:rsid w:val="00604E39"/>
    <w:rsid w:val="00604EB5"/>
    <w:rsid w:val="00607911"/>
    <w:rsid w:val="006138C7"/>
    <w:rsid w:val="006209CA"/>
    <w:rsid w:val="00621F4F"/>
    <w:rsid w:val="00637808"/>
    <w:rsid w:val="0064382C"/>
    <w:rsid w:val="00646783"/>
    <w:rsid w:val="00651D5F"/>
    <w:rsid w:val="00654AAB"/>
    <w:rsid w:val="006E4C2F"/>
    <w:rsid w:val="006F2827"/>
    <w:rsid w:val="00705C75"/>
    <w:rsid w:val="00711622"/>
    <w:rsid w:val="00715764"/>
    <w:rsid w:val="00716E47"/>
    <w:rsid w:val="00720B37"/>
    <w:rsid w:val="00723175"/>
    <w:rsid w:val="00740D74"/>
    <w:rsid w:val="00745F91"/>
    <w:rsid w:val="00752C1A"/>
    <w:rsid w:val="007533C8"/>
    <w:rsid w:val="00753440"/>
    <w:rsid w:val="00763509"/>
    <w:rsid w:val="00766744"/>
    <w:rsid w:val="00766B0C"/>
    <w:rsid w:val="00776438"/>
    <w:rsid w:val="00776513"/>
    <w:rsid w:val="0078194C"/>
    <w:rsid w:val="007824EF"/>
    <w:rsid w:val="00792AAA"/>
    <w:rsid w:val="007964E1"/>
    <w:rsid w:val="00797630"/>
    <w:rsid w:val="007B28A1"/>
    <w:rsid w:val="007B3AAE"/>
    <w:rsid w:val="007B3BFF"/>
    <w:rsid w:val="007B5820"/>
    <w:rsid w:val="007B62EE"/>
    <w:rsid w:val="007C0799"/>
    <w:rsid w:val="007D72AD"/>
    <w:rsid w:val="007E136D"/>
    <w:rsid w:val="007E433D"/>
    <w:rsid w:val="007E5A65"/>
    <w:rsid w:val="007E7BE6"/>
    <w:rsid w:val="00813847"/>
    <w:rsid w:val="00813E9C"/>
    <w:rsid w:val="00837BD4"/>
    <w:rsid w:val="00844235"/>
    <w:rsid w:val="00845994"/>
    <w:rsid w:val="008463C1"/>
    <w:rsid w:val="00853D5C"/>
    <w:rsid w:val="00873FCA"/>
    <w:rsid w:val="00890764"/>
    <w:rsid w:val="00896476"/>
    <w:rsid w:val="008A0B8D"/>
    <w:rsid w:val="008A144C"/>
    <w:rsid w:val="008A15A1"/>
    <w:rsid w:val="008A55C2"/>
    <w:rsid w:val="008C043F"/>
    <w:rsid w:val="008D0732"/>
    <w:rsid w:val="008F22D3"/>
    <w:rsid w:val="008F253F"/>
    <w:rsid w:val="009027E2"/>
    <w:rsid w:val="00914145"/>
    <w:rsid w:val="00916FDF"/>
    <w:rsid w:val="009171DB"/>
    <w:rsid w:val="0092767C"/>
    <w:rsid w:val="00934224"/>
    <w:rsid w:val="00953939"/>
    <w:rsid w:val="00965CF3"/>
    <w:rsid w:val="00985A7F"/>
    <w:rsid w:val="00993FD8"/>
    <w:rsid w:val="00996911"/>
    <w:rsid w:val="00996BAC"/>
    <w:rsid w:val="009976F8"/>
    <w:rsid w:val="009A6981"/>
    <w:rsid w:val="009B3BE1"/>
    <w:rsid w:val="009C29F1"/>
    <w:rsid w:val="009C5780"/>
    <w:rsid w:val="009E36C5"/>
    <w:rsid w:val="009E3AF8"/>
    <w:rsid w:val="009F12F4"/>
    <w:rsid w:val="00A13250"/>
    <w:rsid w:val="00A35E0B"/>
    <w:rsid w:val="00A414D8"/>
    <w:rsid w:val="00A52470"/>
    <w:rsid w:val="00A537E3"/>
    <w:rsid w:val="00A540EA"/>
    <w:rsid w:val="00A604B0"/>
    <w:rsid w:val="00A7155B"/>
    <w:rsid w:val="00A73D50"/>
    <w:rsid w:val="00A84BA5"/>
    <w:rsid w:val="00A854FF"/>
    <w:rsid w:val="00A92D60"/>
    <w:rsid w:val="00A96B33"/>
    <w:rsid w:val="00AB50F9"/>
    <w:rsid w:val="00AB6131"/>
    <w:rsid w:val="00AC6643"/>
    <w:rsid w:val="00AD1EBE"/>
    <w:rsid w:val="00AF4F60"/>
    <w:rsid w:val="00B14A6D"/>
    <w:rsid w:val="00B17FE3"/>
    <w:rsid w:val="00B23EF9"/>
    <w:rsid w:val="00B2407B"/>
    <w:rsid w:val="00B25CA2"/>
    <w:rsid w:val="00B33EB0"/>
    <w:rsid w:val="00B41FAD"/>
    <w:rsid w:val="00B668C1"/>
    <w:rsid w:val="00B8710D"/>
    <w:rsid w:val="00B87643"/>
    <w:rsid w:val="00B87EF4"/>
    <w:rsid w:val="00B91EC8"/>
    <w:rsid w:val="00BA0E5C"/>
    <w:rsid w:val="00BA557B"/>
    <w:rsid w:val="00BD1221"/>
    <w:rsid w:val="00BD1E1C"/>
    <w:rsid w:val="00BE269B"/>
    <w:rsid w:val="00BE6878"/>
    <w:rsid w:val="00BF14B2"/>
    <w:rsid w:val="00C13CEE"/>
    <w:rsid w:val="00C15ECC"/>
    <w:rsid w:val="00C26837"/>
    <w:rsid w:val="00C27709"/>
    <w:rsid w:val="00C451F1"/>
    <w:rsid w:val="00C52B4F"/>
    <w:rsid w:val="00C5372E"/>
    <w:rsid w:val="00C605F6"/>
    <w:rsid w:val="00C70BB0"/>
    <w:rsid w:val="00C735A8"/>
    <w:rsid w:val="00C7615C"/>
    <w:rsid w:val="00C76A35"/>
    <w:rsid w:val="00C770AC"/>
    <w:rsid w:val="00C8177C"/>
    <w:rsid w:val="00C93103"/>
    <w:rsid w:val="00CA0BB8"/>
    <w:rsid w:val="00CA5BBD"/>
    <w:rsid w:val="00CB6A4E"/>
    <w:rsid w:val="00CD6D46"/>
    <w:rsid w:val="00CE0AFA"/>
    <w:rsid w:val="00CF313E"/>
    <w:rsid w:val="00CF4259"/>
    <w:rsid w:val="00CF4EF3"/>
    <w:rsid w:val="00D038EA"/>
    <w:rsid w:val="00D05A30"/>
    <w:rsid w:val="00D11BF9"/>
    <w:rsid w:val="00D1529E"/>
    <w:rsid w:val="00D15E40"/>
    <w:rsid w:val="00D30ECF"/>
    <w:rsid w:val="00D32839"/>
    <w:rsid w:val="00D3584C"/>
    <w:rsid w:val="00D3619C"/>
    <w:rsid w:val="00D576EC"/>
    <w:rsid w:val="00D85AD3"/>
    <w:rsid w:val="00D902B9"/>
    <w:rsid w:val="00D914DA"/>
    <w:rsid w:val="00D91CE6"/>
    <w:rsid w:val="00D9357A"/>
    <w:rsid w:val="00DA37FE"/>
    <w:rsid w:val="00DC3FC9"/>
    <w:rsid w:val="00DE1B11"/>
    <w:rsid w:val="00DF5844"/>
    <w:rsid w:val="00E0049E"/>
    <w:rsid w:val="00E152EC"/>
    <w:rsid w:val="00E215E5"/>
    <w:rsid w:val="00E56B8F"/>
    <w:rsid w:val="00E65D98"/>
    <w:rsid w:val="00E67506"/>
    <w:rsid w:val="00E92408"/>
    <w:rsid w:val="00EA57C1"/>
    <w:rsid w:val="00EB118B"/>
    <w:rsid w:val="00ED5B57"/>
    <w:rsid w:val="00EE40CD"/>
    <w:rsid w:val="00EF14DE"/>
    <w:rsid w:val="00EF3B5E"/>
    <w:rsid w:val="00EF522E"/>
    <w:rsid w:val="00EF7ADE"/>
    <w:rsid w:val="00F07819"/>
    <w:rsid w:val="00F10EB2"/>
    <w:rsid w:val="00F1310D"/>
    <w:rsid w:val="00F40A48"/>
    <w:rsid w:val="00F431A4"/>
    <w:rsid w:val="00F43FA0"/>
    <w:rsid w:val="00F5018E"/>
    <w:rsid w:val="00F521C7"/>
    <w:rsid w:val="00F571D1"/>
    <w:rsid w:val="00F575F9"/>
    <w:rsid w:val="00F6114D"/>
    <w:rsid w:val="00F62744"/>
    <w:rsid w:val="00F65AA3"/>
    <w:rsid w:val="00F66DDC"/>
    <w:rsid w:val="00F71FF4"/>
    <w:rsid w:val="00F73F32"/>
    <w:rsid w:val="00F86F64"/>
    <w:rsid w:val="00F91F46"/>
    <w:rsid w:val="00F956C6"/>
    <w:rsid w:val="00FA4882"/>
    <w:rsid w:val="00FB6D25"/>
    <w:rsid w:val="00FB7F0E"/>
    <w:rsid w:val="00FC1690"/>
    <w:rsid w:val="00FD4F0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B2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994"/>
    <w:rPr>
      <w:rFonts w:ascii="Times New Roman" w:hAnsi="Times New Roman"/>
    </w:rPr>
  </w:style>
  <w:style w:type="paragraph" w:styleId="Heading1">
    <w:name w:val="heading 1"/>
    <w:basedOn w:val="Normal"/>
    <w:next w:val="Normal"/>
    <w:link w:val="Heading1Char"/>
    <w:uiPriority w:val="9"/>
    <w:qFormat/>
    <w:rsid w:val="009B3BE1"/>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382C"/>
    <w:pPr>
      <w:keepNext/>
      <w:keepLines/>
      <w:spacing w:before="240" w:after="12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9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595F"/>
  </w:style>
  <w:style w:type="paragraph" w:styleId="Footer">
    <w:name w:val="footer"/>
    <w:basedOn w:val="Normal"/>
    <w:link w:val="FooterChar"/>
    <w:uiPriority w:val="99"/>
    <w:unhideWhenUsed/>
    <w:rsid w:val="002659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595F"/>
  </w:style>
  <w:style w:type="paragraph" w:styleId="BalloonText">
    <w:name w:val="Balloon Text"/>
    <w:basedOn w:val="Normal"/>
    <w:link w:val="BalloonTextChar"/>
    <w:uiPriority w:val="99"/>
    <w:semiHidden/>
    <w:unhideWhenUsed/>
    <w:rsid w:val="00265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95F"/>
    <w:rPr>
      <w:rFonts w:ascii="Tahoma" w:hAnsi="Tahoma" w:cs="Tahoma"/>
      <w:sz w:val="16"/>
      <w:szCs w:val="16"/>
    </w:rPr>
  </w:style>
  <w:style w:type="character" w:customStyle="1" w:styleId="Heading1Char">
    <w:name w:val="Heading 1 Char"/>
    <w:basedOn w:val="DefaultParagraphFont"/>
    <w:link w:val="Heading1"/>
    <w:uiPriority w:val="9"/>
    <w:rsid w:val="009B3BE1"/>
    <w:rPr>
      <w:rFonts w:ascii="Trebuchet MS" w:eastAsiaTheme="majorEastAsia" w:hAnsi="Trebuchet MS"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382C"/>
    <w:rPr>
      <w:rFonts w:ascii="Times New Roman" w:eastAsiaTheme="majorEastAsia" w:hAnsi="Times New Roman" w:cstheme="majorBidi"/>
      <w:b/>
      <w:bCs/>
      <w:color w:val="4F81BD" w:themeColor="accent1"/>
      <w:sz w:val="26"/>
      <w:szCs w:val="26"/>
    </w:rPr>
  </w:style>
  <w:style w:type="character" w:styleId="Hyperlink">
    <w:name w:val="Hyperlink"/>
    <w:basedOn w:val="DefaultParagraphFont"/>
    <w:uiPriority w:val="99"/>
    <w:unhideWhenUsed/>
    <w:rsid w:val="00C15ECC"/>
    <w:rPr>
      <w:color w:val="0000FF" w:themeColor="hyperlink"/>
      <w:u w:val="single"/>
    </w:rPr>
  </w:style>
  <w:style w:type="paragraph" w:styleId="ListParagraph">
    <w:name w:val="List Paragraph"/>
    <w:basedOn w:val="Normal"/>
    <w:uiPriority w:val="34"/>
    <w:qFormat/>
    <w:rsid w:val="002865C5"/>
    <w:pPr>
      <w:ind w:left="720"/>
      <w:contextualSpacing/>
    </w:pPr>
  </w:style>
  <w:style w:type="table" w:styleId="TableGrid">
    <w:name w:val="Table Grid"/>
    <w:basedOn w:val="TableNormal"/>
    <w:uiPriority w:val="59"/>
    <w:rsid w:val="00613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14145"/>
    <w:pPr>
      <w:spacing w:before="100" w:beforeAutospacing="1" w:after="100" w:afterAutospacing="1" w:line="240" w:lineRule="auto"/>
    </w:pPr>
    <w:rPr>
      <w:rFonts w:eastAsia="Times New Roman" w:cs="Times New Roman"/>
      <w:sz w:val="24"/>
      <w:szCs w:val="24"/>
      <w:lang w:eastAsia="cs-CZ"/>
    </w:rPr>
  </w:style>
  <w:style w:type="paragraph" w:styleId="NoSpacing">
    <w:name w:val="No Spacing"/>
    <w:uiPriority w:val="1"/>
    <w:qFormat/>
    <w:rsid w:val="00B23EF9"/>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7E7BE6"/>
    <w:rPr>
      <w:sz w:val="16"/>
      <w:szCs w:val="16"/>
    </w:rPr>
  </w:style>
  <w:style w:type="paragraph" w:styleId="CommentText">
    <w:name w:val="annotation text"/>
    <w:basedOn w:val="Normal"/>
    <w:link w:val="CommentTextChar"/>
    <w:uiPriority w:val="99"/>
    <w:semiHidden/>
    <w:unhideWhenUsed/>
    <w:rsid w:val="007E7BE6"/>
    <w:pPr>
      <w:spacing w:line="240" w:lineRule="auto"/>
    </w:pPr>
    <w:rPr>
      <w:sz w:val="20"/>
      <w:szCs w:val="20"/>
    </w:rPr>
  </w:style>
  <w:style w:type="character" w:customStyle="1" w:styleId="CommentTextChar">
    <w:name w:val="Comment Text Char"/>
    <w:basedOn w:val="DefaultParagraphFont"/>
    <w:link w:val="CommentText"/>
    <w:uiPriority w:val="99"/>
    <w:semiHidden/>
    <w:rsid w:val="007E7BE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E7BE6"/>
    <w:rPr>
      <w:b/>
      <w:bCs/>
    </w:rPr>
  </w:style>
  <w:style w:type="character" w:customStyle="1" w:styleId="CommentSubjectChar">
    <w:name w:val="Comment Subject Char"/>
    <w:basedOn w:val="CommentTextChar"/>
    <w:link w:val="CommentSubject"/>
    <w:uiPriority w:val="99"/>
    <w:semiHidden/>
    <w:rsid w:val="007E7BE6"/>
    <w:rPr>
      <w:rFonts w:ascii="Times New Roman" w:hAnsi="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994"/>
    <w:rPr>
      <w:rFonts w:ascii="Times New Roman" w:hAnsi="Times New Roman"/>
    </w:rPr>
  </w:style>
  <w:style w:type="paragraph" w:styleId="Heading1">
    <w:name w:val="heading 1"/>
    <w:basedOn w:val="Normal"/>
    <w:next w:val="Normal"/>
    <w:link w:val="Heading1Char"/>
    <w:uiPriority w:val="9"/>
    <w:qFormat/>
    <w:rsid w:val="009B3BE1"/>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382C"/>
    <w:pPr>
      <w:keepNext/>
      <w:keepLines/>
      <w:spacing w:before="240" w:after="12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9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595F"/>
  </w:style>
  <w:style w:type="paragraph" w:styleId="Footer">
    <w:name w:val="footer"/>
    <w:basedOn w:val="Normal"/>
    <w:link w:val="FooterChar"/>
    <w:uiPriority w:val="99"/>
    <w:unhideWhenUsed/>
    <w:rsid w:val="002659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595F"/>
  </w:style>
  <w:style w:type="paragraph" w:styleId="BalloonText">
    <w:name w:val="Balloon Text"/>
    <w:basedOn w:val="Normal"/>
    <w:link w:val="BalloonTextChar"/>
    <w:uiPriority w:val="99"/>
    <w:semiHidden/>
    <w:unhideWhenUsed/>
    <w:rsid w:val="00265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95F"/>
    <w:rPr>
      <w:rFonts w:ascii="Tahoma" w:hAnsi="Tahoma" w:cs="Tahoma"/>
      <w:sz w:val="16"/>
      <w:szCs w:val="16"/>
    </w:rPr>
  </w:style>
  <w:style w:type="character" w:customStyle="1" w:styleId="Heading1Char">
    <w:name w:val="Heading 1 Char"/>
    <w:basedOn w:val="DefaultParagraphFont"/>
    <w:link w:val="Heading1"/>
    <w:uiPriority w:val="9"/>
    <w:rsid w:val="009B3BE1"/>
    <w:rPr>
      <w:rFonts w:ascii="Trebuchet MS" w:eastAsiaTheme="majorEastAsia" w:hAnsi="Trebuchet MS"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382C"/>
    <w:rPr>
      <w:rFonts w:ascii="Times New Roman" w:eastAsiaTheme="majorEastAsia" w:hAnsi="Times New Roman" w:cstheme="majorBidi"/>
      <w:b/>
      <w:bCs/>
      <w:color w:val="4F81BD" w:themeColor="accent1"/>
      <w:sz w:val="26"/>
      <w:szCs w:val="26"/>
    </w:rPr>
  </w:style>
  <w:style w:type="character" w:styleId="Hyperlink">
    <w:name w:val="Hyperlink"/>
    <w:basedOn w:val="DefaultParagraphFont"/>
    <w:uiPriority w:val="99"/>
    <w:unhideWhenUsed/>
    <w:rsid w:val="00C15ECC"/>
    <w:rPr>
      <w:color w:val="0000FF" w:themeColor="hyperlink"/>
      <w:u w:val="single"/>
    </w:rPr>
  </w:style>
  <w:style w:type="paragraph" w:styleId="ListParagraph">
    <w:name w:val="List Paragraph"/>
    <w:basedOn w:val="Normal"/>
    <w:uiPriority w:val="34"/>
    <w:qFormat/>
    <w:rsid w:val="002865C5"/>
    <w:pPr>
      <w:ind w:left="720"/>
      <w:contextualSpacing/>
    </w:pPr>
  </w:style>
  <w:style w:type="table" w:styleId="TableGrid">
    <w:name w:val="Table Grid"/>
    <w:basedOn w:val="TableNormal"/>
    <w:uiPriority w:val="59"/>
    <w:rsid w:val="00613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14145"/>
    <w:pPr>
      <w:spacing w:before="100" w:beforeAutospacing="1" w:after="100" w:afterAutospacing="1" w:line="240" w:lineRule="auto"/>
    </w:pPr>
    <w:rPr>
      <w:rFonts w:eastAsia="Times New Roman" w:cs="Times New Roman"/>
      <w:sz w:val="24"/>
      <w:szCs w:val="24"/>
      <w:lang w:eastAsia="cs-CZ"/>
    </w:rPr>
  </w:style>
  <w:style w:type="paragraph" w:styleId="NoSpacing">
    <w:name w:val="No Spacing"/>
    <w:uiPriority w:val="1"/>
    <w:qFormat/>
    <w:rsid w:val="00B23EF9"/>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7E7BE6"/>
    <w:rPr>
      <w:sz w:val="16"/>
      <w:szCs w:val="16"/>
    </w:rPr>
  </w:style>
  <w:style w:type="paragraph" w:styleId="CommentText">
    <w:name w:val="annotation text"/>
    <w:basedOn w:val="Normal"/>
    <w:link w:val="CommentTextChar"/>
    <w:uiPriority w:val="99"/>
    <w:semiHidden/>
    <w:unhideWhenUsed/>
    <w:rsid w:val="007E7BE6"/>
    <w:pPr>
      <w:spacing w:line="240" w:lineRule="auto"/>
    </w:pPr>
    <w:rPr>
      <w:sz w:val="20"/>
      <w:szCs w:val="20"/>
    </w:rPr>
  </w:style>
  <w:style w:type="character" w:customStyle="1" w:styleId="CommentTextChar">
    <w:name w:val="Comment Text Char"/>
    <w:basedOn w:val="DefaultParagraphFont"/>
    <w:link w:val="CommentText"/>
    <w:uiPriority w:val="99"/>
    <w:semiHidden/>
    <w:rsid w:val="007E7BE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E7BE6"/>
    <w:rPr>
      <w:b/>
      <w:bCs/>
    </w:rPr>
  </w:style>
  <w:style w:type="character" w:customStyle="1" w:styleId="CommentSubjectChar">
    <w:name w:val="Comment Subject Char"/>
    <w:basedOn w:val="CommentTextChar"/>
    <w:link w:val="CommentSubject"/>
    <w:uiPriority w:val="99"/>
    <w:semiHidden/>
    <w:rsid w:val="007E7BE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432987">
      <w:bodyDiv w:val="1"/>
      <w:marLeft w:val="0"/>
      <w:marRight w:val="0"/>
      <w:marTop w:val="0"/>
      <w:marBottom w:val="0"/>
      <w:divBdr>
        <w:top w:val="none" w:sz="0" w:space="0" w:color="auto"/>
        <w:left w:val="none" w:sz="0" w:space="0" w:color="auto"/>
        <w:bottom w:val="none" w:sz="0" w:space="0" w:color="auto"/>
        <w:right w:val="none" w:sz="0" w:space="0" w:color="auto"/>
      </w:divBdr>
    </w:div>
    <w:div w:id="934437498">
      <w:bodyDiv w:val="1"/>
      <w:marLeft w:val="0"/>
      <w:marRight w:val="0"/>
      <w:marTop w:val="0"/>
      <w:marBottom w:val="0"/>
      <w:divBdr>
        <w:top w:val="none" w:sz="0" w:space="0" w:color="auto"/>
        <w:left w:val="none" w:sz="0" w:space="0" w:color="auto"/>
        <w:bottom w:val="none" w:sz="0" w:space="0" w:color="auto"/>
        <w:right w:val="none" w:sz="0" w:space="0" w:color="auto"/>
      </w:divBdr>
    </w:div>
    <w:div w:id="1501967112">
      <w:bodyDiv w:val="1"/>
      <w:marLeft w:val="0"/>
      <w:marRight w:val="0"/>
      <w:marTop w:val="0"/>
      <w:marBottom w:val="0"/>
      <w:divBdr>
        <w:top w:val="none" w:sz="0" w:space="0" w:color="auto"/>
        <w:left w:val="none" w:sz="0" w:space="0" w:color="auto"/>
        <w:bottom w:val="none" w:sz="0" w:space="0" w:color="auto"/>
        <w:right w:val="none" w:sz="0" w:space="0" w:color="auto"/>
      </w:divBdr>
    </w:div>
    <w:div w:id="2045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rcprevention.eu" TargetMode="External"/><Relationship Id="rId20" Type="http://schemas.openxmlformats.org/officeDocument/2006/relationships/hyperlink" Target="http://www.onconet.cz" TargetMode="External"/><Relationship Id="rId21" Type="http://schemas.openxmlformats.org/officeDocument/2006/relationships/hyperlink" Target="http://www.linkos.cz" TargetMode="External"/><Relationship Id="rId22" Type="http://schemas.openxmlformats.org/officeDocument/2006/relationships/hyperlink" Target="http://www.svod.cz" TargetMode="External"/><Relationship Id="rId23" Type="http://schemas.openxmlformats.org/officeDocument/2006/relationships/hyperlink" Target="http://globocan.iarc.fr" TargetMode="External"/><Relationship Id="rId24" Type="http://schemas.openxmlformats.org/officeDocument/2006/relationships/hyperlink" Target="http://dx.doi.org/10.1787/health_glance_eur-2014-en" TargetMode="External"/><Relationship Id="rId25" Type="http://schemas.openxmlformats.org/officeDocument/2006/relationships/hyperlink" Target="http://www.oecd.org/els/health-systems/Cancer-Care-Czech-Republic-2013.pdf" TargetMode="External"/><Relationship Id="rId26" Type="http://schemas.openxmlformats.org/officeDocument/2006/relationships/header" Target="head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iba.muni.cz" TargetMode="External"/><Relationship Id="rId11" Type="http://schemas.openxmlformats.org/officeDocument/2006/relationships/hyperlink" Target="http://www.uzis.cz" TargetMode="External"/><Relationship Id="rId12" Type="http://schemas.openxmlformats.org/officeDocument/2006/relationships/hyperlink" Target="http://www.kolorektum.cz" TargetMode="Externa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hyperlink" Target="http://www.kolorektum.cz" TargetMode="External"/><Relationship Id="rId17" Type="http://schemas.openxmlformats.org/officeDocument/2006/relationships/image" Target="media/image4.png"/><Relationship Id="rId18" Type="http://schemas.openxmlformats.org/officeDocument/2006/relationships/image" Target="media/image5.png"/><Relationship Id="rId19" Type="http://schemas.openxmlformats.org/officeDocument/2006/relationships/hyperlink" Target="http://www.kolorektum.cz"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0C2D3-2655-D84E-B83F-73036ACD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10</Pages>
  <Words>3418</Words>
  <Characters>19489</Characters>
  <Application>Microsoft Macintosh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dc:creator>
  <cp:lastModifiedBy>Lenka Šnajdrová</cp:lastModifiedBy>
  <cp:revision>72</cp:revision>
  <dcterms:created xsi:type="dcterms:W3CDTF">2015-05-25T08:56:00Z</dcterms:created>
  <dcterms:modified xsi:type="dcterms:W3CDTF">2015-05-26T10:21:00Z</dcterms:modified>
</cp:coreProperties>
</file>