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6F" w:rsidRDefault="00CF313E" w:rsidP="00353B6F">
      <w:pPr>
        <w:pStyle w:val="Heading1"/>
        <w:spacing w:before="0"/>
      </w:pPr>
      <w:bookmarkStart w:id="0" w:name="_GoBack"/>
      <w:bookmarkEnd w:id="0"/>
      <w:r>
        <w:t>4</w:t>
      </w:r>
      <w:r w:rsidR="00353B6F">
        <w:t xml:space="preserve">. EVROPSKÉ DNY KOLOREKTÁLNÍHO KARCINOMU </w:t>
      </w:r>
    </w:p>
    <w:p w:rsidR="00353B6F" w:rsidRPr="00E215E5" w:rsidRDefault="00353B6F" w:rsidP="00353B6F">
      <w:pPr>
        <w:pStyle w:val="Heading1"/>
        <w:spacing w:before="0"/>
        <w:rPr>
          <w:sz w:val="24"/>
          <w:szCs w:val="24"/>
        </w:rPr>
      </w:pPr>
      <w:r w:rsidRPr="00E215E5">
        <w:rPr>
          <w:sz w:val="24"/>
          <w:szCs w:val="24"/>
        </w:rPr>
        <w:t>2</w:t>
      </w:r>
      <w:r w:rsidR="00CF313E">
        <w:rPr>
          <w:sz w:val="24"/>
          <w:szCs w:val="24"/>
        </w:rPr>
        <w:t>9</w:t>
      </w:r>
      <w:r w:rsidRPr="00E215E5">
        <w:rPr>
          <w:sz w:val="24"/>
          <w:szCs w:val="24"/>
        </w:rPr>
        <w:t>.–</w:t>
      </w:r>
      <w:r w:rsidR="00CF313E">
        <w:rPr>
          <w:sz w:val="24"/>
          <w:szCs w:val="24"/>
        </w:rPr>
        <w:t>30</w:t>
      </w:r>
      <w:r w:rsidRPr="00E215E5">
        <w:rPr>
          <w:sz w:val="24"/>
          <w:szCs w:val="24"/>
        </w:rPr>
        <w:t>.</w:t>
      </w:r>
      <w:r w:rsidR="008F253F">
        <w:rPr>
          <w:sz w:val="24"/>
          <w:szCs w:val="24"/>
        </w:rPr>
        <w:t xml:space="preserve"> </w:t>
      </w:r>
      <w:r w:rsidR="00CF313E">
        <w:rPr>
          <w:sz w:val="24"/>
          <w:szCs w:val="24"/>
        </w:rPr>
        <w:t>5</w:t>
      </w:r>
      <w:r w:rsidRPr="00E215E5">
        <w:rPr>
          <w:sz w:val="24"/>
          <w:szCs w:val="24"/>
        </w:rPr>
        <w:t>. 201</w:t>
      </w:r>
      <w:r w:rsidR="00CF313E">
        <w:rPr>
          <w:sz w:val="24"/>
          <w:szCs w:val="24"/>
        </w:rPr>
        <w:t>5</w:t>
      </w:r>
      <w:r w:rsidRPr="00E215E5">
        <w:rPr>
          <w:sz w:val="24"/>
          <w:szCs w:val="24"/>
        </w:rPr>
        <w:t>, Brno</w:t>
      </w:r>
      <w:r w:rsidR="008F253F">
        <w:rPr>
          <w:sz w:val="24"/>
          <w:szCs w:val="24"/>
        </w:rPr>
        <w:t xml:space="preserve"> –</w:t>
      </w:r>
      <w:r w:rsidR="007B5820" w:rsidRPr="00E215E5">
        <w:rPr>
          <w:sz w:val="24"/>
          <w:szCs w:val="24"/>
        </w:rPr>
        <w:t xml:space="preserve"> </w:t>
      </w:r>
      <w:hyperlink r:id="rId9" w:history="1">
        <w:r w:rsidRPr="00E215E5">
          <w:rPr>
            <w:rStyle w:val="Hyperlink"/>
            <w:sz w:val="24"/>
            <w:szCs w:val="24"/>
          </w:rPr>
          <w:t>www.crcprevention.eu</w:t>
        </w:r>
      </w:hyperlink>
      <w:r w:rsidRPr="00E215E5">
        <w:rPr>
          <w:sz w:val="24"/>
          <w:szCs w:val="24"/>
        </w:rPr>
        <w:t>: konference zaměřená na problémy související s prevencí a léčbou kolorektálního karcinomu v</w:t>
      </w:r>
      <w:r w:rsidR="00E215E5" w:rsidRPr="00E215E5">
        <w:rPr>
          <w:sz w:val="24"/>
          <w:szCs w:val="24"/>
        </w:rPr>
        <w:t> </w:t>
      </w:r>
      <w:r w:rsidRPr="00E215E5">
        <w:rPr>
          <w:sz w:val="24"/>
          <w:szCs w:val="24"/>
        </w:rPr>
        <w:t>EU</w:t>
      </w:r>
      <w:r w:rsidR="00E215E5" w:rsidRPr="00E215E5">
        <w:rPr>
          <w:sz w:val="24"/>
          <w:szCs w:val="24"/>
        </w:rPr>
        <w:t xml:space="preserve"> a v ČR</w:t>
      </w:r>
    </w:p>
    <w:p w:rsidR="0026595F" w:rsidRDefault="00E215E5" w:rsidP="00442571">
      <w:pPr>
        <w:spacing w:after="0" w:line="240" w:lineRule="auto"/>
      </w:pPr>
      <w:r>
        <w:t xml:space="preserve">Konferenci organizují a zprávu zpracovali: </w:t>
      </w:r>
      <w:r w:rsidR="008F253F">
        <w:t>K</w:t>
      </w:r>
      <w:r>
        <w:t xml:space="preserve">ancelář poslance Evropského parlamentu </w:t>
      </w:r>
      <w:r w:rsidR="008F253F">
        <w:t>RND</w:t>
      </w:r>
      <w:r>
        <w:t xml:space="preserve">r. Pavla </w:t>
      </w:r>
      <w:proofErr w:type="spellStart"/>
      <w:r>
        <w:t>Poce</w:t>
      </w:r>
      <w:proofErr w:type="spellEnd"/>
      <w:r w:rsidR="003D3A57">
        <w:t xml:space="preserve">, </w:t>
      </w:r>
      <w:r w:rsidR="00711622">
        <w:t xml:space="preserve">Institut biostatistiky a analýz LF a </w:t>
      </w:r>
      <w:proofErr w:type="spellStart"/>
      <w:r w:rsidR="00711622">
        <w:t>PřF</w:t>
      </w:r>
      <w:proofErr w:type="spellEnd"/>
      <w:r w:rsidR="00711622">
        <w:t>, Masarykova univerzita, Brno (</w:t>
      </w:r>
      <w:hyperlink r:id="rId10" w:history="1">
        <w:r w:rsidR="00C15ECC" w:rsidRPr="00741B94">
          <w:rPr>
            <w:rStyle w:val="Hyperlink"/>
          </w:rPr>
          <w:t>www.iba.muni.cz</w:t>
        </w:r>
      </w:hyperlink>
      <w:r w:rsidR="00711622">
        <w:t>)</w:t>
      </w:r>
      <w:r w:rsidR="003D3A57">
        <w:t xml:space="preserve"> a Ústav zdravotnických informací a statistiky ČR (</w:t>
      </w:r>
      <w:hyperlink r:id="rId11" w:history="1">
        <w:r w:rsidR="003D3A57" w:rsidRPr="002A5986">
          <w:rPr>
            <w:rStyle w:val="Hyperlink"/>
          </w:rPr>
          <w:t>www.uzis.cz</w:t>
        </w:r>
      </w:hyperlink>
      <w:r w:rsidR="003D3A57">
        <w:t>).</w:t>
      </w:r>
    </w:p>
    <w:p w:rsidR="00442571" w:rsidRDefault="00442571" w:rsidP="00442571">
      <w:pPr>
        <w:pStyle w:val="Heading1"/>
        <w:spacing w:before="0" w:line="240" w:lineRule="auto"/>
      </w:pPr>
    </w:p>
    <w:p w:rsidR="000A4401" w:rsidRPr="00353B6F" w:rsidRDefault="00353B6F" w:rsidP="00442571">
      <w:pPr>
        <w:pStyle w:val="Heading1"/>
        <w:spacing w:before="0" w:line="240" w:lineRule="auto"/>
      </w:pPr>
      <w:r>
        <w:t xml:space="preserve">Souhrn informací </w:t>
      </w:r>
      <w:r w:rsidR="000A4401" w:rsidRPr="00353B6F">
        <w:t>o kolorektálním karcinomu</w:t>
      </w:r>
      <w:r w:rsidR="00E215E5">
        <w:t xml:space="preserve"> (KRK) </w:t>
      </w:r>
      <w:r w:rsidR="00522637" w:rsidRPr="00353B6F">
        <w:t xml:space="preserve">v ČR </w:t>
      </w:r>
    </w:p>
    <w:p w:rsidR="000A4401" w:rsidRDefault="00AC6643" w:rsidP="00353B6F">
      <w:pPr>
        <w:pStyle w:val="ListParagraph"/>
        <w:numPr>
          <w:ilvl w:val="0"/>
          <w:numId w:val="3"/>
        </w:numPr>
      </w:pPr>
      <w:r w:rsidRPr="0032223F">
        <w:rPr>
          <w:b/>
        </w:rPr>
        <w:t xml:space="preserve">Vysoký počet nemocných. </w:t>
      </w:r>
      <w:r w:rsidR="000A4401">
        <w:t>ČR je v</w:t>
      </w:r>
      <w:r w:rsidR="00E215E5">
        <w:t> </w:t>
      </w:r>
      <w:r w:rsidR="001D4E87">
        <w:t xml:space="preserve">počtu nových onemocnění KRK </w:t>
      </w:r>
      <w:r w:rsidR="000C58E2">
        <w:t xml:space="preserve">stále </w:t>
      </w:r>
      <w:r w:rsidR="000A4401">
        <w:t xml:space="preserve">na </w:t>
      </w:r>
      <w:r w:rsidR="00353B6F">
        <w:t>předních místech mezinárodních statistik.</w:t>
      </w:r>
      <w:r w:rsidR="001D4E87">
        <w:t xml:space="preserve"> </w:t>
      </w:r>
      <w:r w:rsidR="000C58E2">
        <w:t xml:space="preserve">Ročně </w:t>
      </w:r>
      <w:r w:rsidR="000A4401">
        <w:t xml:space="preserve">v ČR </w:t>
      </w:r>
      <w:r w:rsidR="000C58E2">
        <w:t xml:space="preserve">onemocní </w:t>
      </w:r>
      <w:r w:rsidR="0032223F">
        <w:t>téměř</w:t>
      </w:r>
      <w:r w:rsidR="000A4401">
        <w:t xml:space="preserve"> 8 tisíc lidí a 4 tisíce na toto onemocnění zemřou.</w:t>
      </w:r>
      <w:r w:rsidR="0032223F">
        <w:t xml:space="preserve"> </w:t>
      </w:r>
      <w:r w:rsidR="000C58E2">
        <w:t xml:space="preserve">Pozitivem je stabilizace počtu nových onemocnění </w:t>
      </w:r>
      <w:r w:rsidR="0032223F">
        <w:t>a kles</w:t>
      </w:r>
      <w:r w:rsidR="000C58E2">
        <w:t xml:space="preserve">ající mortalita. Tyto trendy ale následně navyšují </w:t>
      </w:r>
      <w:r w:rsidR="00353B6F">
        <w:t>počt</w:t>
      </w:r>
      <w:r w:rsidR="000C58E2">
        <w:t>y</w:t>
      </w:r>
      <w:r w:rsidR="00353B6F">
        <w:t xml:space="preserve"> </w:t>
      </w:r>
      <w:r w:rsidR="000A4401">
        <w:t xml:space="preserve">léčených a vyléčených pacientů, </w:t>
      </w:r>
      <w:r w:rsidR="00353B6F">
        <w:t xml:space="preserve">o </w:t>
      </w:r>
      <w:r w:rsidR="000A4401">
        <w:t xml:space="preserve">které je nutné </w:t>
      </w:r>
      <w:r w:rsidR="00353B6F">
        <w:t>pečovat</w:t>
      </w:r>
      <w:r w:rsidR="000A4401">
        <w:t>.</w:t>
      </w:r>
      <w:r w:rsidR="00C735A8">
        <w:t xml:space="preserve"> </w:t>
      </w:r>
      <w:r w:rsidR="0032223F">
        <w:t xml:space="preserve"> </w:t>
      </w:r>
      <w:r w:rsidR="000C58E2">
        <w:t>V</w:t>
      </w:r>
      <w:r w:rsidR="0032223F">
        <w:t xml:space="preserve"> ČR</w:t>
      </w:r>
      <w:r w:rsidR="00C735A8">
        <w:t xml:space="preserve"> </w:t>
      </w:r>
      <w:r w:rsidR="000C58E2">
        <w:t xml:space="preserve">žije </w:t>
      </w:r>
      <w:r w:rsidR="0032223F">
        <w:t>přes</w:t>
      </w:r>
      <w:r w:rsidR="00310219">
        <w:t xml:space="preserve"> 60 tisíc</w:t>
      </w:r>
      <w:r w:rsidR="00C735A8">
        <w:t xml:space="preserve"> občanů, kteří nyní nebo v minulosti onemocněli touto chorobou.</w:t>
      </w:r>
    </w:p>
    <w:p w:rsidR="000A4401" w:rsidRDefault="00AC6643" w:rsidP="000A4401">
      <w:pPr>
        <w:pStyle w:val="ListParagraph"/>
        <w:numPr>
          <w:ilvl w:val="0"/>
          <w:numId w:val="3"/>
        </w:numPr>
      </w:pPr>
      <w:r w:rsidRPr="00AC6643">
        <w:rPr>
          <w:b/>
        </w:rPr>
        <w:t xml:space="preserve">Pozdě diagnostikovaná onemocnění. </w:t>
      </w:r>
      <w:r w:rsidR="00C735A8">
        <w:t xml:space="preserve">Situaci zhoršuje fakt, </w:t>
      </w:r>
      <w:r w:rsidR="00442571">
        <w:t xml:space="preserve">že více než </w:t>
      </w:r>
      <w:r w:rsidR="000A4401">
        <w:t>5</w:t>
      </w:r>
      <w:r w:rsidR="002B298D">
        <w:t>0</w:t>
      </w:r>
      <w:r w:rsidR="000A4401">
        <w:t xml:space="preserve"> % pacientů je</w:t>
      </w:r>
      <w:r w:rsidR="000E564A">
        <w:t xml:space="preserve"> </w:t>
      </w:r>
      <w:r w:rsidR="0045569A">
        <w:t>setrvale</w:t>
      </w:r>
      <w:r w:rsidR="000A4401">
        <w:t xml:space="preserve"> diagnostikovaných v pokročilém stadiu nemoci, kdy je </w:t>
      </w:r>
      <w:r w:rsidR="00442571">
        <w:t>snížená šance na úspěšné vyléčení</w:t>
      </w:r>
      <w:r w:rsidR="000A4401">
        <w:t>.</w:t>
      </w:r>
      <w:r w:rsidR="0045569A">
        <w:t xml:space="preserve"> Tito pacienti také vyžadují komplexní léčbu, včetně specializované péče v komplexních onkologických centrech ČR. </w:t>
      </w:r>
    </w:p>
    <w:p w:rsidR="00AC6643" w:rsidRDefault="00AC6643" w:rsidP="00AC6643">
      <w:pPr>
        <w:pStyle w:val="ListParagraph"/>
        <w:numPr>
          <w:ilvl w:val="0"/>
          <w:numId w:val="3"/>
        </w:numPr>
      </w:pPr>
      <w:r w:rsidRPr="00AC6643">
        <w:rPr>
          <w:b/>
        </w:rPr>
        <w:t>Existující screeningový program</w:t>
      </w:r>
      <w:r w:rsidR="007B5820">
        <w:rPr>
          <w:b/>
        </w:rPr>
        <w:t xml:space="preserve"> (</w:t>
      </w:r>
      <w:hyperlink r:id="rId12" w:history="1">
        <w:r w:rsidR="007B5820" w:rsidRPr="00E07C3C">
          <w:rPr>
            <w:rStyle w:val="Hyperlink"/>
          </w:rPr>
          <w:t>www.kolorektum.cz</w:t>
        </w:r>
      </w:hyperlink>
      <w:r w:rsidR="007B5820">
        <w:t>)</w:t>
      </w:r>
      <w:r w:rsidRPr="00AC6643">
        <w:rPr>
          <w:b/>
        </w:rPr>
        <w:t xml:space="preserve">. </w:t>
      </w:r>
      <w:r>
        <w:t>Každý český občan nad 50 let má právo na vyšetření prostřednictvím testu na skryté krvácení do stolice, od 55 let pak i možnost primární screeningové kolonoskopie. Vstupem do screeningu je návštěva praktického lékaře, u žen rovněž návštěva gynekologa.  Screening je hrazen z prostředků veřejného zdravotního pojištění, občan</w:t>
      </w:r>
      <w:r w:rsidR="00965CF3">
        <w:t xml:space="preserve"> si</w:t>
      </w:r>
      <w:r>
        <w:t xml:space="preserve"> za účast ve screeningu nic nepřiplácí. </w:t>
      </w:r>
    </w:p>
    <w:p w:rsidR="00AC6643" w:rsidRDefault="00AC6643" w:rsidP="00AC6643">
      <w:pPr>
        <w:pStyle w:val="ListParagraph"/>
        <w:numPr>
          <w:ilvl w:val="0"/>
          <w:numId w:val="3"/>
        </w:numPr>
      </w:pPr>
      <w:r w:rsidRPr="00AC6643">
        <w:rPr>
          <w:b/>
        </w:rPr>
        <w:t xml:space="preserve">Nízkou účast má posílit nový program zvaní občanů do screeningu. </w:t>
      </w:r>
      <w:r>
        <w:t>Ačkoli účast v českém screeningovém programu mírně narůstá, stále je bohužel velmi nízká (2</w:t>
      </w:r>
      <w:r w:rsidR="00005241">
        <w:t>7</w:t>
      </w:r>
      <w:r>
        <w:t xml:space="preserve"> %</w:t>
      </w:r>
      <w:r w:rsidR="00E0049E">
        <w:t xml:space="preserve"> v roce 2013</w:t>
      </w:r>
      <w:r>
        <w:t xml:space="preserve">). V roce 2014 byl s podporou prostředků z EU zahájen projekt zvaní občanů do </w:t>
      </w:r>
      <w:proofErr w:type="spellStart"/>
      <w:r>
        <w:t>screeningu</w:t>
      </w:r>
      <w:proofErr w:type="spellEnd"/>
      <w:r>
        <w:t xml:space="preserve"> zhoubných nádorů. Zváni jsou občané, kteří se screeningu neúčastní. Zejména na t</w:t>
      </w:r>
      <w:r w:rsidR="00442571">
        <w:t xml:space="preserve">yto občany </w:t>
      </w:r>
      <w:r>
        <w:t>je třeb</w:t>
      </w:r>
      <w:r w:rsidR="00442571">
        <w:t>a apelovat, aby pozvánku využili</w:t>
      </w:r>
      <w:r>
        <w:t xml:space="preserve"> jako příležitost </w:t>
      </w:r>
      <w:r w:rsidR="00442571">
        <w:t>předejít</w:t>
      </w:r>
      <w:r w:rsidR="002B298D">
        <w:t xml:space="preserve"> onemocnění.</w:t>
      </w:r>
    </w:p>
    <w:p w:rsidR="002B298D" w:rsidRDefault="002B298D" w:rsidP="00AC6643">
      <w:pPr>
        <w:pStyle w:val="ListParagraph"/>
        <w:numPr>
          <w:ilvl w:val="0"/>
          <w:numId w:val="3"/>
        </w:numPr>
      </w:pPr>
      <w:r>
        <w:rPr>
          <w:b/>
        </w:rPr>
        <w:t>Český</w:t>
      </w:r>
      <w:r w:rsidRPr="00AC6643">
        <w:rPr>
          <w:b/>
        </w:rPr>
        <w:t xml:space="preserve"> problém k řešení – dostupnost péče.</w:t>
      </w:r>
      <w:r>
        <w:t xml:space="preserve"> Řízení péče o pacienty s </w:t>
      </w:r>
      <w:r w:rsidR="00442571">
        <w:t>KRK</w:t>
      </w:r>
      <w:r>
        <w:t xml:space="preserve"> není v ČR </w:t>
      </w:r>
      <w:r w:rsidR="00442571">
        <w:t xml:space="preserve">optimální </w:t>
      </w:r>
      <w:r>
        <w:t>a fakticky ve všech fází</w:t>
      </w:r>
      <w:r w:rsidR="00442571">
        <w:t>ch</w:t>
      </w:r>
      <w:r>
        <w:t xml:space="preserve"> péče pozorujeme velké rozdíly mezi regiony</w:t>
      </w:r>
      <w:r w:rsidR="00442571">
        <w:t xml:space="preserve">, včetně rozdílů v </w:t>
      </w:r>
      <w:r>
        <w:t>dostupnost</w:t>
      </w:r>
      <w:r w:rsidR="00442571">
        <w:t>i</w:t>
      </w:r>
      <w:r>
        <w:t xml:space="preserve"> péče. </w:t>
      </w:r>
      <w:r w:rsidR="00442571">
        <w:t>Alarmující</w:t>
      </w:r>
      <w:r>
        <w:t xml:space="preserve"> rozdíly existují v pokrytí </w:t>
      </w:r>
      <w:proofErr w:type="spellStart"/>
      <w:r>
        <w:t>screeningem</w:t>
      </w:r>
      <w:proofErr w:type="spellEnd"/>
      <w:r>
        <w:t>, kde se regiony mezi sebou liší až o 20 %. Rovněž je dobře zdokumentovaná relativně slabá centralizace chirurgické péče a s ní související omezená dostupnost např. včasné operace jaterních metastáz po kolorektální</w:t>
      </w:r>
      <w:r w:rsidR="00442571">
        <w:t>m</w:t>
      </w:r>
      <w:r>
        <w:t xml:space="preserve"> karcinomu; obdobně se v pozdních stadiích onemocnění dostává méně než polovina pacientů k indikované cílené léčbě v komplexních onkologických centrech. Nedostatečný přístup pacientů k inovativní léčbě </w:t>
      </w:r>
      <w:r w:rsidR="00442571">
        <w:t xml:space="preserve">byl </w:t>
      </w:r>
      <w:r>
        <w:t>České republice rovněž vytknut ve zprávě OECD Cancer Care z roku 2013.</w:t>
      </w:r>
    </w:p>
    <w:p w:rsidR="002B298D" w:rsidRDefault="002B298D" w:rsidP="002B298D">
      <w:pPr>
        <w:pStyle w:val="ListParagraph"/>
        <w:numPr>
          <w:ilvl w:val="0"/>
          <w:numId w:val="3"/>
        </w:numPr>
      </w:pPr>
      <w:r>
        <w:rPr>
          <w:b/>
        </w:rPr>
        <w:t>Český</w:t>
      </w:r>
      <w:r w:rsidRPr="00AC6643">
        <w:rPr>
          <w:b/>
        </w:rPr>
        <w:t xml:space="preserve"> problém k řešení – celkové posílení prevence. </w:t>
      </w:r>
      <w:r>
        <w:t>ČR má značné rezervy v opatřeních posilujících celkovou prevenci. Podle údajů průzkumu OECD (</w:t>
      </w:r>
      <w:proofErr w:type="spellStart"/>
      <w:r w:rsidRPr="00A84BA5">
        <w:t>Health</w:t>
      </w:r>
      <w:proofErr w:type="spellEnd"/>
      <w:r w:rsidRPr="00A84BA5">
        <w:t xml:space="preserve"> </w:t>
      </w:r>
      <w:proofErr w:type="spellStart"/>
      <w:r w:rsidRPr="00A84BA5">
        <w:t>at</w:t>
      </w:r>
      <w:proofErr w:type="spellEnd"/>
      <w:r w:rsidRPr="00A84BA5">
        <w:t xml:space="preserve"> a Glance, </w:t>
      </w:r>
      <w:proofErr w:type="spellStart"/>
      <w:r>
        <w:t>Europe</w:t>
      </w:r>
      <w:proofErr w:type="spellEnd"/>
      <w:r>
        <w:t xml:space="preserve"> </w:t>
      </w:r>
      <w:r w:rsidRPr="00A84BA5">
        <w:t>201</w:t>
      </w:r>
      <w:r>
        <w:t xml:space="preserve">4) vykazuje česká populace ve srovnání s ostatními vyspělými zeměmi vysoce nadprůměrnou spotřebou alkoholu, výskyt obezity a rovněž vysokou spotřebu tabákových výrobků. Opatření ze strany českého státu, například v boji proti kouření, jsou </w:t>
      </w:r>
      <w:r w:rsidR="00442571">
        <w:t xml:space="preserve">stále </w:t>
      </w:r>
      <w:r>
        <w:t>nedostatečná.</w:t>
      </w:r>
    </w:p>
    <w:p w:rsidR="00AC6643" w:rsidRDefault="00AC6643" w:rsidP="002B298D">
      <w:pPr>
        <w:pStyle w:val="ListParagraph"/>
        <w:numPr>
          <w:ilvl w:val="0"/>
          <w:numId w:val="3"/>
        </w:numPr>
      </w:pPr>
      <w:r w:rsidRPr="00AC6643">
        <w:rPr>
          <w:b/>
        </w:rPr>
        <w:t xml:space="preserve">Pozitivní zpráva – prodlužující se přežití pacientů. </w:t>
      </w:r>
      <w:r w:rsidR="00A84BA5">
        <w:t xml:space="preserve">Podle </w:t>
      </w:r>
      <w:r w:rsidR="00CE0AFA">
        <w:t>národních i mezinárodních studií</w:t>
      </w:r>
      <w:r w:rsidR="00A84BA5">
        <w:t xml:space="preserve"> se ČR ve výsledcích onkologické péče přibližuje k evropskému průměru a je výrazně nad průměrem zemí bývalého východního bloku. To platí i pro kolorektální karcinom.</w:t>
      </w:r>
    </w:p>
    <w:p w:rsidR="009E3AF8" w:rsidRDefault="009E3AF8" w:rsidP="00C15ECC">
      <w:pPr>
        <w:pStyle w:val="Heading2"/>
      </w:pPr>
      <w:r>
        <w:lastRenderedPageBreak/>
        <w:t>Kolorektální karcinom</w:t>
      </w:r>
      <w:r w:rsidR="008A0B8D">
        <w:t xml:space="preserve"> – jedna z nejčastějších forem rakoviny </w:t>
      </w:r>
      <w:r>
        <w:t xml:space="preserve">ve světě </w:t>
      </w:r>
      <w:r w:rsidR="008A0B8D">
        <w:t>i</w:t>
      </w:r>
      <w:r>
        <w:t xml:space="preserve"> v Evropě</w:t>
      </w:r>
    </w:p>
    <w:p w:rsidR="00711622" w:rsidRDefault="00162168">
      <w:r>
        <w:t>Rakovina tlustého střeva a konečníku (kolorektální karcinom</w:t>
      </w:r>
      <w:r w:rsidR="001D4E87">
        <w:t>, KRK</w:t>
      </w:r>
      <w:r>
        <w:t>) patří celosvětově k nejčastějším nádorovým onemocněním</w:t>
      </w:r>
      <w:r w:rsidR="00C27709">
        <w:t xml:space="preserve"> a zároveň i k nejčastějším příčinám úmrtí na </w:t>
      </w:r>
      <w:r w:rsidR="000E564A">
        <w:t>nádorová</w:t>
      </w:r>
      <w:r w:rsidR="00C27709">
        <w:t xml:space="preserve"> onemocnění</w:t>
      </w:r>
      <w:r w:rsidR="001D4E87">
        <w:t xml:space="preserve"> ve vyspělých státech</w:t>
      </w:r>
      <w:r>
        <w:t>. Ve světě se jedná o třetí nejčastější zhoubný nádor (vyjma nádorů kožních), v Evropě je to dokonce nejčastější onkologické onemocnění (opět kromě kožních nádorů).</w:t>
      </w:r>
      <w:r w:rsidR="00716E47">
        <w:t xml:space="preserve"> Podle odhadu studie GLOBOCAN byl</w:t>
      </w:r>
      <w:r w:rsidR="003076D9">
        <w:t>o</w:t>
      </w:r>
      <w:r w:rsidR="00716E47">
        <w:t xml:space="preserve"> v roce 20</w:t>
      </w:r>
      <w:r w:rsidR="003951F7">
        <w:t>12</w:t>
      </w:r>
      <w:r w:rsidR="00716E47">
        <w:t xml:space="preserve"> zjištěno na celém světě přes </w:t>
      </w:r>
      <w:r w:rsidR="00716E47" w:rsidRPr="00716E47">
        <w:t>1</w:t>
      </w:r>
      <w:r w:rsidR="00716E47">
        <w:t>,</w:t>
      </w:r>
      <w:r w:rsidR="00095BC5">
        <w:t>3</w:t>
      </w:r>
      <w:r w:rsidR="00716E47">
        <w:t xml:space="preserve"> milionu nových </w:t>
      </w:r>
      <w:r w:rsidR="000E564A">
        <w:t>onemocnění</w:t>
      </w:r>
      <w:r w:rsidR="00716E47">
        <w:t xml:space="preserve"> k</w:t>
      </w:r>
      <w:r w:rsidR="008A0B8D">
        <w:t>olorektální</w:t>
      </w:r>
      <w:r w:rsidR="000E564A">
        <w:t>m</w:t>
      </w:r>
      <w:r w:rsidR="008A0B8D">
        <w:t xml:space="preserve"> karcinom</w:t>
      </w:r>
      <w:r w:rsidR="000E564A">
        <w:t>em</w:t>
      </w:r>
      <w:r w:rsidR="008A0B8D">
        <w:t xml:space="preserve"> a </w:t>
      </w:r>
      <w:r w:rsidR="00095BC5">
        <w:t>téměř</w:t>
      </w:r>
      <w:r w:rsidR="008A0B8D">
        <w:t xml:space="preserve"> </w:t>
      </w:r>
      <w:r w:rsidR="00095BC5">
        <w:t>7</w:t>
      </w:r>
      <w:r w:rsidR="008A0B8D">
        <w:t>00 tisíc lidí na tuto nemoc zemřelo. V</w:t>
      </w:r>
      <w:r w:rsidR="00716E47">
        <w:t> Evropě pak</w:t>
      </w:r>
      <w:r w:rsidR="008A0B8D">
        <w:t xml:space="preserve"> bylo ve stejném roce diagnostikováno</w:t>
      </w:r>
      <w:r w:rsidR="00716E47">
        <w:t xml:space="preserve"> více </w:t>
      </w:r>
      <w:r w:rsidR="00F1310D">
        <w:t>necelých</w:t>
      </w:r>
      <w:r w:rsidR="00716E47">
        <w:t xml:space="preserve"> 450 tisíc </w:t>
      </w:r>
      <w:r w:rsidR="008A0B8D">
        <w:t xml:space="preserve">pacientů a mortalita činila </w:t>
      </w:r>
      <w:r w:rsidR="00095BC5">
        <w:t>téměř</w:t>
      </w:r>
      <w:r w:rsidR="008A0B8D">
        <w:t xml:space="preserve"> 2</w:t>
      </w:r>
      <w:r w:rsidR="00095BC5">
        <w:t>15</w:t>
      </w:r>
      <w:r w:rsidR="008A0B8D">
        <w:t xml:space="preserve"> tisíc </w:t>
      </w:r>
      <w:r w:rsidR="0056024D">
        <w:t>zemřelých</w:t>
      </w:r>
      <w:r w:rsidR="00716E47">
        <w:t>.</w:t>
      </w:r>
      <w:r w:rsidR="0054639F">
        <w:t xml:space="preserve"> Podrobné údaje o incidenci a mortalitě KRK jsou k dispozici v </w:t>
      </w:r>
      <w:r w:rsidR="0054639F" w:rsidRPr="008A144C">
        <w:rPr>
          <w:b/>
          <w:u w:val="single"/>
        </w:rPr>
        <w:t>tabulce 1</w:t>
      </w:r>
      <w:r w:rsidR="0054639F">
        <w:t>.</w:t>
      </w:r>
    </w:p>
    <w:p w:rsidR="00763509" w:rsidRPr="00A13250" w:rsidRDefault="00763509" w:rsidP="00604E39">
      <w:pPr>
        <w:spacing w:after="0"/>
        <w:rPr>
          <w:i/>
        </w:rPr>
      </w:pPr>
      <w:r w:rsidRPr="00A13250">
        <w:rPr>
          <w:i/>
        </w:rPr>
        <w:t>Tabulka 1: Epidemiologie KRK ve světě a v</w:t>
      </w:r>
      <w:r w:rsidR="00993FD8">
        <w:rPr>
          <w:i/>
        </w:rPr>
        <w:t> </w:t>
      </w:r>
      <w:r w:rsidRPr="00A13250">
        <w:rPr>
          <w:i/>
        </w:rPr>
        <w:t>Evropě</w:t>
      </w:r>
      <w:r w:rsidR="00993FD8">
        <w:rPr>
          <w:i/>
        </w:rPr>
        <w:t>.</w:t>
      </w:r>
      <w:r w:rsidR="007824EF" w:rsidRPr="00A13250">
        <w:rPr>
          <w:i/>
        </w:rPr>
        <w:t xml:space="preserve"> </w:t>
      </w:r>
      <w:r w:rsidR="00993FD8">
        <w:rPr>
          <w:i/>
        </w:rPr>
        <w:t>Zdroj dat:</w:t>
      </w:r>
      <w:r w:rsidR="00993FD8" w:rsidRPr="00A13250">
        <w:rPr>
          <w:i/>
        </w:rPr>
        <w:t xml:space="preserve"> </w:t>
      </w:r>
      <w:proofErr w:type="spellStart"/>
      <w:r w:rsidR="00993FD8" w:rsidRPr="00A13250">
        <w:rPr>
          <w:i/>
        </w:rPr>
        <w:t>Ferlay</w:t>
      </w:r>
      <w:proofErr w:type="spellEnd"/>
      <w:r w:rsidR="00993FD8" w:rsidRPr="00A13250">
        <w:rPr>
          <w:i/>
        </w:rPr>
        <w:t xml:space="preserve"> et al., 2013</w:t>
      </w: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257"/>
        <w:gridCol w:w="1276"/>
        <w:gridCol w:w="1134"/>
        <w:gridCol w:w="1417"/>
      </w:tblGrid>
      <w:tr w:rsidR="00763509" w:rsidRPr="00AB50F9" w:rsidTr="00442571"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763509" w:rsidRPr="00AB50F9" w:rsidRDefault="00763509" w:rsidP="00604E39">
            <w:pPr>
              <w:rPr>
                <w:sz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763509" w:rsidRPr="00AB50F9" w:rsidRDefault="00763509" w:rsidP="00604E3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3509" w:rsidRPr="00AB50F9" w:rsidRDefault="00763509" w:rsidP="00442571">
            <w:pPr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Muži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3509" w:rsidRPr="00AB50F9" w:rsidRDefault="00763509" w:rsidP="00442571">
            <w:pPr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Ženy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3509" w:rsidRPr="00AB50F9" w:rsidRDefault="00763509" w:rsidP="00442571">
            <w:pPr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Celkem</w:t>
            </w:r>
          </w:p>
        </w:tc>
      </w:tr>
      <w:tr w:rsidR="00A537E3" w:rsidRPr="00AB50F9" w:rsidTr="00442571">
        <w:tc>
          <w:tcPr>
            <w:tcW w:w="962" w:type="dxa"/>
            <w:vMerge w:val="restart"/>
            <w:tcBorders>
              <w:top w:val="single" w:sz="4" w:space="0" w:color="auto"/>
            </w:tcBorders>
          </w:tcPr>
          <w:p w:rsidR="00A537E3" w:rsidRPr="00AB50F9" w:rsidRDefault="00A537E3" w:rsidP="00306CC3">
            <w:pPr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Svět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A537E3" w:rsidRPr="00AB50F9" w:rsidRDefault="00A537E3" w:rsidP="007E7BE6">
            <w:pPr>
              <w:rPr>
                <w:sz w:val="20"/>
              </w:rPr>
            </w:pPr>
            <w:r w:rsidRPr="00AB50F9">
              <w:rPr>
                <w:sz w:val="20"/>
              </w:rPr>
              <w:t>Incidence – počet onemocnění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746 298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614 304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1 360 602</w:t>
            </w:r>
          </w:p>
        </w:tc>
      </w:tr>
      <w:tr w:rsidR="00A537E3" w:rsidRPr="00AB50F9" w:rsidTr="00442571">
        <w:tc>
          <w:tcPr>
            <w:tcW w:w="962" w:type="dxa"/>
            <w:vMerge/>
          </w:tcPr>
          <w:p w:rsidR="00A537E3" w:rsidRPr="00AB50F9" w:rsidRDefault="00A537E3" w:rsidP="00306CC3">
            <w:pPr>
              <w:rPr>
                <w:b/>
                <w:sz w:val="20"/>
              </w:rPr>
            </w:pPr>
          </w:p>
        </w:tc>
        <w:tc>
          <w:tcPr>
            <w:tcW w:w="3257" w:type="dxa"/>
          </w:tcPr>
          <w:p w:rsidR="00A537E3" w:rsidRPr="00AB50F9" w:rsidRDefault="00A537E3" w:rsidP="00306CC3">
            <w:pPr>
              <w:rPr>
                <w:sz w:val="20"/>
              </w:rPr>
            </w:pPr>
            <w:r w:rsidRPr="00AB50F9">
              <w:rPr>
                <w:sz w:val="20"/>
              </w:rPr>
              <w:t>Incidence – pořadí ČR</w:t>
            </w:r>
          </w:p>
        </w:tc>
        <w:tc>
          <w:tcPr>
            <w:tcW w:w="1276" w:type="dxa"/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4.</w:t>
            </w:r>
          </w:p>
        </w:tc>
        <w:tc>
          <w:tcPr>
            <w:tcW w:w="1134" w:type="dxa"/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16.</w:t>
            </w:r>
          </w:p>
        </w:tc>
        <w:tc>
          <w:tcPr>
            <w:tcW w:w="1417" w:type="dxa"/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6.</w:t>
            </w:r>
          </w:p>
        </w:tc>
      </w:tr>
      <w:tr w:rsidR="00A537E3" w:rsidRPr="00AB50F9" w:rsidTr="00442571">
        <w:tc>
          <w:tcPr>
            <w:tcW w:w="962" w:type="dxa"/>
            <w:vMerge/>
          </w:tcPr>
          <w:p w:rsidR="00A537E3" w:rsidRPr="00AB50F9" w:rsidRDefault="00A537E3" w:rsidP="00306CC3">
            <w:pPr>
              <w:rPr>
                <w:b/>
                <w:sz w:val="20"/>
              </w:rPr>
            </w:pPr>
          </w:p>
        </w:tc>
        <w:tc>
          <w:tcPr>
            <w:tcW w:w="3257" w:type="dxa"/>
          </w:tcPr>
          <w:p w:rsidR="00A537E3" w:rsidRPr="00AB50F9" w:rsidRDefault="00A537E3" w:rsidP="007E7BE6">
            <w:pPr>
              <w:rPr>
                <w:sz w:val="20"/>
              </w:rPr>
            </w:pPr>
            <w:r w:rsidRPr="00AB50F9">
              <w:rPr>
                <w:sz w:val="20"/>
              </w:rPr>
              <w:t>Mortalita – počet úmrtí</w:t>
            </w:r>
          </w:p>
        </w:tc>
        <w:tc>
          <w:tcPr>
            <w:tcW w:w="1276" w:type="dxa"/>
            <w:vAlign w:val="center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373 639</w:t>
            </w:r>
          </w:p>
        </w:tc>
        <w:tc>
          <w:tcPr>
            <w:tcW w:w="1134" w:type="dxa"/>
            <w:vAlign w:val="center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320 294</w:t>
            </w:r>
          </w:p>
        </w:tc>
        <w:tc>
          <w:tcPr>
            <w:tcW w:w="1417" w:type="dxa"/>
            <w:vAlign w:val="center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693 933</w:t>
            </w:r>
          </w:p>
        </w:tc>
      </w:tr>
      <w:tr w:rsidR="00A537E3" w:rsidRPr="00AB50F9" w:rsidTr="00442571"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A537E3" w:rsidRPr="00AB50F9" w:rsidRDefault="00A537E3" w:rsidP="00306CC3">
            <w:pPr>
              <w:rPr>
                <w:b/>
                <w:sz w:val="20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A537E3" w:rsidRPr="00AB50F9" w:rsidRDefault="00A537E3" w:rsidP="00306CC3">
            <w:pPr>
              <w:rPr>
                <w:sz w:val="20"/>
              </w:rPr>
            </w:pPr>
            <w:r w:rsidRPr="00AB50F9">
              <w:rPr>
                <w:sz w:val="20"/>
              </w:rPr>
              <w:t>Mortalita – pořadí ČR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31.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11.</w:t>
            </w:r>
          </w:p>
        </w:tc>
      </w:tr>
      <w:tr w:rsidR="00A537E3" w:rsidRPr="00AB50F9" w:rsidTr="00442571">
        <w:tc>
          <w:tcPr>
            <w:tcW w:w="962" w:type="dxa"/>
            <w:vMerge w:val="restart"/>
            <w:tcBorders>
              <w:top w:val="single" w:sz="4" w:space="0" w:color="auto"/>
            </w:tcBorders>
          </w:tcPr>
          <w:p w:rsidR="00A537E3" w:rsidRPr="00AB50F9" w:rsidRDefault="00A537E3" w:rsidP="00306CC3">
            <w:pPr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Evropa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A537E3" w:rsidRPr="00AB50F9" w:rsidRDefault="00A537E3" w:rsidP="007E7BE6">
            <w:pPr>
              <w:rPr>
                <w:sz w:val="20"/>
              </w:rPr>
            </w:pPr>
            <w:r w:rsidRPr="00AB50F9">
              <w:rPr>
                <w:sz w:val="20"/>
              </w:rPr>
              <w:t>Incidence – počet onemocnění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241 813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205 323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447 136</w:t>
            </w:r>
          </w:p>
        </w:tc>
      </w:tr>
      <w:tr w:rsidR="00A537E3" w:rsidRPr="00AB50F9" w:rsidTr="00442571">
        <w:tc>
          <w:tcPr>
            <w:tcW w:w="962" w:type="dxa"/>
            <w:vMerge/>
          </w:tcPr>
          <w:p w:rsidR="00A537E3" w:rsidRPr="00AB50F9" w:rsidRDefault="00A537E3" w:rsidP="00306CC3">
            <w:pPr>
              <w:rPr>
                <w:b/>
                <w:sz w:val="20"/>
              </w:rPr>
            </w:pPr>
          </w:p>
        </w:tc>
        <w:tc>
          <w:tcPr>
            <w:tcW w:w="3257" w:type="dxa"/>
          </w:tcPr>
          <w:p w:rsidR="00A537E3" w:rsidRPr="00AB50F9" w:rsidRDefault="00A537E3" w:rsidP="00306CC3">
            <w:pPr>
              <w:rPr>
                <w:sz w:val="20"/>
              </w:rPr>
            </w:pPr>
            <w:r w:rsidRPr="00AB50F9">
              <w:rPr>
                <w:sz w:val="20"/>
              </w:rPr>
              <w:t>Incidence – pořadí ČR</w:t>
            </w:r>
          </w:p>
        </w:tc>
        <w:tc>
          <w:tcPr>
            <w:tcW w:w="1276" w:type="dxa"/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3.</w:t>
            </w:r>
          </w:p>
        </w:tc>
        <w:tc>
          <w:tcPr>
            <w:tcW w:w="1134" w:type="dxa"/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10.</w:t>
            </w:r>
          </w:p>
        </w:tc>
        <w:tc>
          <w:tcPr>
            <w:tcW w:w="1417" w:type="dxa"/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5.</w:t>
            </w:r>
          </w:p>
        </w:tc>
      </w:tr>
      <w:tr w:rsidR="00A537E3" w:rsidRPr="00AB50F9" w:rsidTr="00442571">
        <w:tc>
          <w:tcPr>
            <w:tcW w:w="962" w:type="dxa"/>
            <w:vMerge/>
          </w:tcPr>
          <w:p w:rsidR="00A537E3" w:rsidRPr="00AB50F9" w:rsidRDefault="00A537E3" w:rsidP="00306CC3">
            <w:pPr>
              <w:rPr>
                <w:b/>
                <w:sz w:val="20"/>
              </w:rPr>
            </w:pPr>
          </w:p>
        </w:tc>
        <w:tc>
          <w:tcPr>
            <w:tcW w:w="3257" w:type="dxa"/>
          </w:tcPr>
          <w:p w:rsidR="00A537E3" w:rsidRPr="00AB50F9" w:rsidRDefault="00A537E3" w:rsidP="007E7BE6">
            <w:pPr>
              <w:rPr>
                <w:sz w:val="20"/>
              </w:rPr>
            </w:pPr>
            <w:r w:rsidRPr="00AB50F9">
              <w:rPr>
                <w:sz w:val="20"/>
              </w:rPr>
              <w:t>Mortalita – počet úmrtí</w:t>
            </w:r>
          </w:p>
        </w:tc>
        <w:tc>
          <w:tcPr>
            <w:tcW w:w="1276" w:type="dxa"/>
            <w:vAlign w:val="bottom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113 246</w:t>
            </w:r>
          </w:p>
        </w:tc>
        <w:tc>
          <w:tcPr>
            <w:tcW w:w="1134" w:type="dxa"/>
            <w:vAlign w:val="bottom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101 620</w:t>
            </w:r>
          </w:p>
        </w:tc>
        <w:tc>
          <w:tcPr>
            <w:tcW w:w="1417" w:type="dxa"/>
            <w:vAlign w:val="bottom"/>
          </w:tcPr>
          <w:p w:rsidR="00A537E3" w:rsidRPr="00AB50F9" w:rsidRDefault="00A537E3" w:rsidP="00442571">
            <w:pPr>
              <w:rPr>
                <w:rFonts w:eastAsia="Calibri" w:cs="Times New Roman"/>
                <w:sz w:val="20"/>
              </w:rPr>
            </w:pPr>
            <w:r w:rsidRPr="00AB50F9">
              <w:rPr>
                <w:rFonts w:eastAsia="Calibri" w:cs="Times New Roman"/>
                <w:sz w:val="20"/>
              </w:rPr>
              <w:t>214 866</w:t>
            </w:r>
          </w:p>
        </w:tc>
      </w:tr>
      <w:tr w:rsidR="00A537E3" w:rsidRPr="00AB50F9" w:rsidTr="00442571"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A537E3" w:rsidRPr="00AB50F9" w:rsidRDefault="00A537E3" w:rsidP="00306CC3">
            <w:pPr>
              <w:rPr>
                <w:b/>
                <w:sz w:val="20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A537E3" w:rsidRPr="00AB50F9" w:rsidRDefault="00A537E3" w:rsidP="00306CC3">
            <w:pPr>
              <w:rPr>
                <w:sz w:val="20"/>
              </w:rPr>
            </w:pPr>
            <w:r w:rsidRPr="00AB50F9">
              <w:rPr>
                <w:sz w:val="20"/>
              </w:rPr>
              <w:t>Mortalita – pořadí ČR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20.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7E3" w:rsidRPr="00AB50F9" w:rsidRDefault="00A537E3" w:rsidP="00442571">
            <w:pPr>
              <w:rPr>
                <w:sz w:val="20"/>
              </w:rPr>
            </w:pPr>
            <w:r w:rsidRPr="00AB50F9">
              <w:rPr>
                <w:sz w:val="20"/>
              </w:rPr>
              <w:t>9.</w:t>
            </w:r>
          </w:p>
        </w:tc>
      </w:tr>
    </w:tbl>
    <w:p w:rsidR="0039610C" w:rsidRDefault="0039610C"/>
    <w:p w:rsidR="00162168" w:rsidRDefault="00B2407B">
      <w:r>
        <w:t xml:space="preserve">Vysokým výskytem KRK je zatížená i Česká republika, která </w:t>
      </w:r>
      <w:r w:rsidR="00B87EF4">
        <w:t>při</w:t>
      </w:r>
      <w:r>
        <w:t xml:space="preserve"> srovnání s ostatními zeměmi pravidelně zaujímá čelní příčky</w:t>
      </w:r>
      <w:r w:rsidR="008A144C">
        <w:t xml:space="preserve"> mezinárodních statistik</w:t>
      </w:r>
      <w:r>
        <w:t xml:space="preserve">. </w:t>
      </w:r>
      <w:r w:rsidR="0054639F">
        <w:t>V</w:t>
      </w:r>
      <w:r w:rsidR="0056024D">
        <w:t> </w:t>
      </w:r>
      <w:r w:rsidR="0054639F" w:rsidRPr="0054639F">
        <w:t>incidenci</w:t>
      </w:r>
      <w:r w:rsidR="0056024D">
        <w:t xml:space="preserve"> zhoubných </w:t>
      </w:r>
      <w:r w:rsidR="008A144C">
        <w:t xml:space="preserve">národů </w:t>
      </w:r>
      <w:r w:rsidR="0056024D">
        <w:t>kolorekta</w:t>
      </w:r>
      <w:r w:rsidR="003648EF">
        <w:t xml:space="preserve"> (tedy </w:t>
      </w:r>
      <w:r w:rsidR="008A144C">
        <w:t xml:space="preserve">v </w:t>
      </w:r>
      <w:r w:rsidR="003648EF">
        <w:t xml:space="preserve">počtu nově diagnostikovaných </w:t>
      </w:r>
      <w:r w:rsidR="0056024D">
        <w:t>onemocnění</w:t>
      </w:r>
      <w:r w:rsidR="003648EF">
        <w:t>)</w:t>
      </w:r>
      <w:r w:rsidR="0054639F" w:rsidRPr="0054639F">
        <w:t xml:space="preserve"> stojí česká populace mužů ve světě</w:t>
      </w:r>
      <w:r w:rsidR="00095BC5">
        <w:t xml:space="preserve"> na 4.</w:t>
      </w:r>
      <w:r w:rsidR="0054639F" w:rsidRPr="0054639F">
        <w:t xml:space="preserve"> </w:t>
      </w:r>
      <w:r w:rsidR="00095BC5">
        <w:t>a</w:t>
      </w:r>
      <w:r w:rsidR="0054639F" w:rsidRPr="0054639F">
        <w:t xml:space="preserve"> v Evropě na </w:t>
      </w:r>
      <w:r w:rsidR="00095BC5">
        <w:t>3</w:t>
      </w:r>
      <w:r w:rsidR="0054639F" w:rsidRPr="0054639F">
        <w:t>. místě, u žen obsazujeme 1</w:t>
      </w:r>
      <w:r w:rsidR="00DA37FE">
        <w:t>6</w:t>
      </w:r>
      <w:r w:rsidR="0054639F" w:rsidRPr="0054639F">
        <w:t xml:space="preserve">. místo na světě a </w:t>
      </w:r>
      <w:r w:rsidR="00DA37FE">
        <w:t>10</w:t>
      </w:r>
      <w:r w:rsidR="0054639F" w:rsidRPr="0054639F">
        <w:t>. nejvyšší pozici v</w:t>
      </w:r>
      <w:r w:rsidR="005D4EF7">
        <w:t> </w:t>
      </w:r>
      <w:r w:rsidR="0054639F" w:rsidRPr="0054639F">
        <w:t>Evropě</w:t>
      </w:r>
      <w:r w:rsidR="005D4EF7">
        <w:t xml:space="preserve">, při součtu obou pohlaví jsme celkově na </w:t>
      </w:r>
      <w:r w:rsidR="00DA37FE">
        <w:t>6</w:t>
      </w:r>
      <w:r w:rsidR="005D4EF7">
        <w:t xml:space="preserve">. místě ve světě a </w:t>
      </w:r>
      <w:r w:rsidR="00DA37FE">
        <w:t>5</w:t>
      </w:r>
      <w:r w:rsidR="005D4EF7">
        <w:t>. v</w:t>
      </w:r>
      <w:r w:rsidR="00034DC9">
        <w:t> </w:t>
      </w:r>
      <w:r w:rsidR="005D4EF7">
        <w:t>Evropě</w:t>
      </w:r>
      <w:r w:rsidR="00034DC9">
        <w:t xml:space="preserve"> (</w:t>
      </w:r>
      <w:r w:rsidR="00321FD0" w:rsidRPr="00321FD0">
        <w:rPr>
          <w:b/>
          <w:u w:val="single"/>
        </w:rPr>
        <w:t>tabulka 1</w:t>
      </w:r>
      <w:r w:rsidR="00321FD0">
        <w:t xml:space="preserve">, </w:t>
      </w:r>
      <w:r w:rsidR="00034DC9" w:rsidRPr="008A144C">
        <w:rPr>
          <w:b/>
          <w:u w:val="single"/>
        </w:rPr>
        <w:t>obrázek 1</w:t>
      </w:r>
      <w:r w:rsidR="00034DC9">
        <w:t>)</w:t>
      </w:r>
      <w:r w:rsidR="0054639F" w:rsidRPr="0054639F">
        <w:t xml:space="preserve">. </w:t>
      </w:r>
      <w:r w:rsidR="0054639F">
        <w:t xml:space="preserve">Mezinárodní </w:t>
      </w:r>
      <w:r w:rsidR="00890764" w:rsidRPr="0054639F">
        <w:t xml:space="preserve">statistiky </w:t>
      </w:r>
      <w:r w:rsidR="0054639F">
        <w:t>dokládají, že KRK je onemocnění typické právě pro země střední a západní Evropy</w:t>
      </w:r>
      <w:r w:rsidR="00890764">
        <w:t xml:space="preserve"> a</w:t>
      </w:r>
      <w:r w:rsidR="00766744">
        <w:t xml:space="preserve"> </w:t>
      </w:r>
      <w:r w:rsidR="0054639F" w:rsidRPr="0054639F">
        <w:t xml:space="preserve">rovněž potvrzují převažující </w:t>
      </w:r>
      <w:r w:rsidR="008A144C">
        <w:t>výskyt</w:t>
      </w:r>
      <w:r w:rsidR="0054639F" w:rsidRPr="0054639F">
        <w:t xml:space="preserve"> kolorektálního karcino</w:t>
      </w:r>
      <w:r w:rsidR="00763509">
        <w:t xml:space="preserve">mu u mužů </w:t>
      </w:r>
      <w:r w:rsidR="00890764">
        <w:t>oproti ženám</w:t>
      </w:r>
      <w:r w:rsidR="00763509">
        <w:t>.</w:t>
      </w:r>
    </w:p>
    <w:p w:rsidR="00853D5C" w:rsidRDefault="00853D5C" w:rsidP="00853D5C">
      <w:pPr>
        <w:pStyle w:val="Heading2"/>
      </w:pPr>
      <w:r>
        <w:t xml:space="preserve">Na rakovinu tlustého střeva a konečníku ročně v ČR umírají tisíce lidí </w:t>
      </w:r>
    </w:p>
    <w:p w:rsidR="00853D5C" w:rsidRDefault="00853D5C">
      <w:r>
        <w:t>Každý rok je diagnóza kolorektálního karcinomu sdělena téměř 8 tisícům obyvatel ČR</w:t>
      </w:r>
      <w:r w:rsidR="00442571">
        <w:t xml:space="preserve"> a </w:t>
      </w:r>
      <w:r>
        <w:t xml:space="preserve">téměř 4 tisíce lidí na tuto nemoc </w:t>
      </w:r>
      <w:r w:rsidR="00442571">
        <w:t xml:space="preserve">každoročně umírají </w:t>
      </w:r>
      <w:r>
        <w:t>(</w:t>
      </w:r>
      <w:r w:rsidRPr="00EB118B">
        <w:rPr>
          <w:b/>
          <w:u w:val="single"/>
        </w:rPr>
        <w:t>tabulka 2</w:t>
      </w:r>
      <w:r>
        <w:t xml:space="preserve">). Rakovina tlustého střeva a konečníku se tak významně podílí na celkové zátěži české populace onkologickými onemocněními – u obou pohlaví je na 2. místě, u mužů za nádory prostaty a u žen za nádory prsu. Závažným faktem také je, že i když se jedná o nemoc vyššího věku (typický věk českého pacienta s kolorektálním karcinomem leží v intervalu 61–77 let), postihuje i mnoho lidí </w:t>
      </w:r>
      <w:r w:rsidR="00442571">
        <w:t xml:space="preserve">v produktivním věku; </w:t>
      </w:r>
      <w:r>
        <w:t>pětina nemocných je diagnostikováno ve věku do 60 let.</w:t>
      </w:r>
    </w:p>
    <w:p w:rsidR="00853D5C" w:rsidRDefault="00853D5C"/>
    <w:p w:rsidR="00442571" w:rsidRDefault="00442571"/>
    <w:p w:rsidR="00442571" w:rsidRDefault="00442571"/>
    <w:p w:rsidR="00565867" w:rsidRDefault="00565867"/>
    <w:p w:rsidR="00565867" w:rsidRDefault="00565867"/>
    <w:p w:rsidR="00604EB5" w:rsidRPr="00A13250" w:rsidRDefault="00604EB5" w:rsidP="00604EB5">
      <w:pPr>
        <w:rPr>
          <w:i/>
        </w:rPr>
      </w:pPr>
      <w:r w:rsidRPr="00A13250">
        <w:rPr>
          <w:i/>
        </w:rPr>
        <w:lastRenderedPageBreak/>
        <w:t>Obrázek 1: Incidence kolorektálního karcinomu ve světě a v</w:t>
      </w:r>
      <w:r w:rsidR="00993FD8">
        <w:rPr>
          <w:i/>
        </w:rPr>
        <w:t> </w:t>
      </w:r>
      <w:r w:rsidRPr="00A13250">
        <w:rPr>
          <w:i/>
        </w:rPr>
        <w:t>Evropě</w:t>
      </w:r>
      <w:r w:rsidR="00993FD8">
        <w:rPr>
          <w:i/>
        </w:rPr>
        <w:t>. Zdroj dat:</w:t>
      </w:r>
      <w:r w:rsidRPr="00A13250">
        <w:rPr>
          <w:i/>
        </w:rPr>
        <w:t xml:space="preserve"> </w:t>
      </w:r>
      <w:proofErr w:type="spellStart"/>
      <w:r w:rsidRPr="00A13250">
        <w:rPr>
          <w:i/>
        </w:rPr>
        <w:t>Ferlay</w:t>
      </w:r>
      <w:proofErr w:type="spellEnd"/>
      <w:r w:rsidRPr="00A13250">
        <w:rPr>
          <w:i/>
        </w:rPr>
        <w:t xml:space="preserve"> et al., 2013</w:t>
      </w:r>
    </w:p>
    <w:p w:rsidR="00604EB5" w:rsidRDefault="00604EB5" w:rsidP="00604EB5">
      <w:r>
        <w:rPr>
          <w:noProof/>
          <w:lang w:val="en-US"/>
        </w:rPr>
        <w:drawing>
          <wp:inline distT="0" distB="0" distL="0" distR="0" wp14:anchorId="45F80E4A" wp14:editId="58491794">
            <wp:extent cx="5040000" cy="32400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EB5" w:rsidRPr="00EF14DE" w:rsidRDefault="00604EB5" w:rsidP="00604E39">
      <w:pPr>
        <w:spacing w:after="0"/>
        <w:rPr>
          <w:i/>
        </w:rPr>
      </w:pPr>
      <w:r w:rsidRPr="00EF14DE">
        <w:rPr>
          <w:i/>
        </w:rPr>
        <w:t>Tabulka 2: Epidemiologie KRK v ČR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1488"/>
        <w:gridCol w:w="1283"/>
      </w:tblGrid>
      <w:tr w:rsidR="00604EB5" w:rsidRPr="00AB50F9" w:rsidTr="00990178"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604EB5" w:rsidRPr="00AB50F9" w:rsidRDefault="00604EB5" w:rsidP="00604E39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04EB5" w:rsidRPr="00AB50F9" w:rsidRDefault="00604EB5" w:rsidP="00F521C7">
            <w:pPr>
              <w:spacing w:after="0" w:line="240" w:lineRule="auto"/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Rok 201</w:t>
            </w:r>
            <w:r w:rsidR="00F521C7" w:rsidRPr="00AB50F9">
              <w:rPr>
                <w:b/>
                <w:sz w:val="20"/>
              </w:rPr>
              <w:t>2</w:t>
            </w:r>
            <w:r w:rsidRPr="00AB50F9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604EB5" w:rsidRPr="00AB50F9" w:rsidRDefault="00604EB5" w:rsidP="00E65D98">
            <w:pPr>
              <w:spacing w:after="0" w:line="240" w:lineRule="auto"/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Rok 201</w:t>
            </w:r>
            <w:r w:rsidR="00E65D98" w:rsidRPr="00AB50F9">
              <w:rPr>
                <w:b/>
                <w:sz w:val="20"/>
              </w:rPr>
              <w:t>5</w:t>
            </w:r>
            <w:r w:rsidRPr="00AB50F9">
              <w:rPr>
                <w:b/>
                <w:sz w:val="20"/>
                <w:vertAlign w:val="superscript"/>
              </w:rPr>
              <w:t>2</w:t>
            </w:r>
          </w:p>
        </w:tc>
      </w:tr>
      <w:tr w:rsidR="00604EB5" w:rsidRPr="00AB50F9" w:rsidTr="00990178">
        <w:tc>
          <w:tcPr>
            <w:tcW w:w="5211" w:type="dxa"/>
            <w:tcBorders>
              <w:top w:val="single" w:sz="4" w:space="0" w:color="auto"/>
            </w:tcBorders>
          </w:tcPr>
          <w:p w:rsidR="00604EB5" w:rsidRPr="00AB50F9" w:rsidRDefault="00604EB5" w:rsidP="0099017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Počet nových onemocnění v ČR za 1 rok (incidence)</w:t>
            </w:r>
          </w:p>
          <w:p w:rsidR="00604EB5" w:rsidRPr="00AB50F9" w:rsidRDefault="00604EB5" w:rsidP="00990178">
            <w:pPr>
              <w:spacing w:after="0" w:line="240" w:lineRule="auto"/>
              <w:jc w:val="both"/>
              <w:rPr>
                <w:sz w:val="20"/>
              </w:rPr>
            </w:pPr>
            <w:r w:rsidRPr="00AB50F9">
              <w:rPr>
                <w:sz w:val="20"/>
              </w:rPr>
              <w:t>(absolutní počty / přepočet na 100 000 obyvatel)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604EB5" w:rsidRPr="00AB50F9" w:rsidRDefault="00F521C7" w:rsidP="00E65D98">
            <w:pPr>
              <w:spacing w:after="0" w:line="240" w:lineRule="auto"/>
              <w:rPr>
                <w:sz w:val="20"/>
              </w:rPr>
            </w:pPr>
            <w:r w:rsidRPr="00AB50F9">
              <w:rPr>
                <w:sz w:val="20"/>
              </w:rPr>
              <w:t>7</w:t>
            </w:r>
            <w:r w:rsidR="00604EB5" w:rsidRPr="00AB50F9">
              <w:rPr>
                <w:sz w:val="20"/>
              </w:rPr>
              <w:t> </w:t>
            </w:r>
            <w:r w:rsidRPr="00AB50F9">
              <w:rPr>
                <w:sz w:val="20"/>
              </w:rPr>
              <w:t>940</w:t>
            </w:r>
            <w:r w:rsidR="00604EB5" w:rsidRPr="00AB50F9">
              <w:rPr>
                <w:sz w:val="20"/>
              </w:rPr>
              <w:t xml:space="preserve"> / 7</w:t>
            </w:r>
            <w:r w:rsidR="00E65D98" w:rsidRPr="00AB50F9">
              <w:rPr>
                <w:sz w:val="20"/>
              </w:rPr>
              <w:t>5</w:t>
            </w:r>
            <w:r w:rsidR="00604EB5" w:rsidRPr="00AB50F9">
              <w:rPr>
                <w:sz w:val="20"/>
              </w:rPr>
              <w:t>,</w:t>
            </w:r>
            <w:r w:rsidR="00E65D98" w:rsidRPr="00AB50F9">
              <w:rPr>
                <w:sz w:val="20"/>
              </w:rPr>
              <w:t>55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604EB5" w:rsidRPr="00AB50F9" w:rsidRDefault="00604EB5" w:rsidP="008C043F">
            <w:pPr>
              <w:spacing w:after="0" w:line="240" w:lineRule="auto"/>
              <w:rPr>
                <w:sz w:val="20"/>
              </w:rPr>
            </w:pPr>
            <w:r w:rsidRPr="00AB50F9">
              <w:rPr>
                <w:sz w:val="20"/>
              </w:rPr>
              <w:t xml:space="preserve">8 </w:t>
            </w:r>
            <w:r w:rsidR="008C043F" w:rsidRPr="00AB50F9">
              <w:rPr>
                <w:sz w:val="20"/>
              </w:rPr>
              <w:t>578</w:t>
            </w:r>
          </w:p>
        </w:tc>
      </w:tr>
      <w:tr w:rsidR="00604EB5" w:rsidRPr="00AB50F9" w:rsidTr="00990178">
        <w:tc>
          <w:tcPr>
            <w:tcW w:w="5211" w:type="dxa"/>
          </w:tcPr>
          <w:p w:rsidR="00604EB5" w:rsidRPr="00AB50F9" w:rsidRDefault="00604EB5" w:rsidP="0099017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Počet úmrtí v ČR za 1 rok (mortalita)</w:t>
            </w:r>
          </w:p>
          <w:p w:rsidR="00604EB5" w:rsidRPr="00AB50F9" w:rsidRDefault="00604EB5" w:rsidP="0099017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AB50F9">
              <w:rPr>
                <w:sz w:val="20"/>
              </w:rPr>
              <w:t>(absolutní počty / přepočet na 100 000 obyvatel)</w:t>
            </w:r>
          </w:p>
        </w:tc>
        <w:tc>
          <w:tcPr>
            <w:tcW w:w="1488" w:type="dxa"/>
          </w:tcPr>
          <w:p w:rsidR="00604EB5" w:rsidRPr="00AB50F9" w:rsidRDefault="00604EB5" w:rsidP="00E65D98">
            <w:pPr>
              <w:spacing w:after="0" w:line="240" w:lineRule="auto"/>
              <w:rPr>
                <w:sz w:val="20"/>
              </w:rPr>
            </w:pPr>
            <w:r w:rsidRPr="00AB50F9">
              <w:rPr>
                <w:sz w:val="20"/>
              </w:rPr>
              <w:t>3</w:t>
            </w:r>
            <w:r w:rsidR="00F521C7" w:rsidRPr="00AB50F9">
              <w:rPr>
                <w:sz w:val="20"/>
              </w:rPr>
              <w:t xml:space="preserve"> </w:t>
            </w:r>
            <w:r w:rsidRPr="00AB50F9">
              <w:rPr>
                <w:sz w:val="20"/>
              </w:rPr>
              <w:t>9</w:t>
            </w:r>
            <w:r w:rsidR="00F521C7" w:rsidRPr="00AB50F9">
              <w:rPr>
                <w:sz w:val="20"/>
              </w:rPr>
              <w:t>38</w:t>
            </w:r>
            <w:r w:rsidRPr="00AB50F9">
              <w:rPr>
                <w:sz w:val="20"/>
              </w:rPr>
              <w:t xml:space="preserve"> / 37,</w:t>
            </w:r>
            <w:r w:rsidR="00E65D98" w:rsidRPr="00AB50F9">
              <w:rPr>
                <w:sz w:val="20"/>
              </w:rPr>
              <w:t>47</w:t>
            </w:r>
          </w:p>
        </w:tc>
        <w:tc>
          <w:tcPr>
            <w:tcW w:w="1283" w:type="dxa"/>
          </w:tcPr>
          <w:p w:rsidR="00604EB5" w:rsidRPr="00AB50F9" w:rsidRDefault="00604EB5" w:rsidP="00990178">
            <w:pPr>
              <w:spacing w:after="0" w:line="240" w:lineRule="auto"/>
              <w:rPr>
                <w:sz w:val="20"/>
              </w:rPr>
            </w:pPr>
            <w:r w:rsidRPr="00AB50F9">
              <w:rPr>
                <w:sz w:val="20"/>
              </w:rPr>
              <w:t>---</w:t>
            </w:r>
          </w:p>
        </w:tc>
      </w:tr>
      <w:tr w:rsidR="00604EB5" w:rsidRPr="00AB50F9" w:rsidTr="00990178">
        <w:tc>
          <w:tcPr>
            <w:tcW w:w="5211" w:type="dxa"/>
            <w:tcBorders>
              <w:bottom w:val="single" w:sz="4" w:space="0" w:color="auto"/>
            </w:tcBorders>
          </w:tcPr>
          <w:p w:rsidR="00604EB5" w:rsidRPr="00AB50F9" w:rsidRDefault="00604EB5" w:rsidP="0099017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AB50F9">
              <w:rPr>
                <w:b/>
                <w:sz w:val="20"/>
              </w:rPr>
              <w:t>Počet žijících pacientů, kterým bylo v minulosti diagnostikováno onemocnění (prevalence)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604EB5" w:rsidRPr="00AB50F9" w:rsidRDefault="00604EB5" w:rsidP="00EF14DE">
            <w:pPr>
              <w:spacing w:after="0" w:line="240" w:lineRule="auto"/>
              <w:rPr>
                <w:sz w:val="20"/>
              </w:rPr>
            </w:pPr>
            <w:r w:rsidRPr="00AB50F9">
              <w:rPr>
                <w:sz w:val="20"/>
              </w:rPr>
              <w:t>5</w:t>
            </w:r>
            <w:r w:rsidR="00EF14DE" w:rsidRPr="00AB50F9">
              <w:rPr>
                <w:sz w:val="20"/>
              </w:rPr>
              <w:t>3</w:t>
            </w:r>
            <w:r w:rsidRPr="00AB50F9">
              <w:rPr>
                <w:sz w:val="20"/>
              </w:rPr>
              <w:t xml:space="preserve"> </w:t>
            </w:r>
            <w:r w:rsidR="00EF14DE" w:rsidRPr="00AB50F9">
              <w:rPr>
                <w:sz w:val="20"/>
              </w:rPr>
              <w:t>701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604EB5" w:rsidRPr="00AB50F9" w:rsidRDefault="008C043F" w:rsidP="008C043F">
            <w:pPr>
              <w:spacing w:after="0" w:line="240" w:lineRule="auto"/>
              <w:rPr>
                <w:sz w:val="20"/>
              </w:rPr>
            </w:pPr>
            <w:r w:rsidRPr="00AB50F9">
              <w:rPr>
                <w:sz w:val="20"/>
              </w:rPr>
              <w:t>65</w:t>
            </w:r>
            <w:r w:rsidR="00604EB5" w:rsidRPr="00AB50F9">
              <w:rPr>
                <w:sz w:val="20"/>
              </w:rPr>
              <w:t xml:space="preserve"> </w:t>
            </w:r>
            <w:r w:rsidRPr="00AB50F9">
              <w:rPr>
                <w:sz w:val="20"/>
              </w:rPr>
              <w:t>810</w:t>
            </w:r>
          </w:p>
        </w:tc>
      </w:tr>
    </w:tbl>
    <w:p w:rsidR="00604EB5" w:rsidRPr="00604E39" w:rsidRDefault="00604EB5" w:rsidP="00604EB5">
      <w:pPr>
        <w:rPr>
          <w:sz w:val="18"/>
          <w:szCs w:val="18"/>
        </w:rPr>
      </w:pPr>
      <w:r w:rsidRPr="00604E39">
        <w:rPr>
          <w:sz w:val="18"/>
          <w:szCs w:val="18"/>
          <w:vertAlign w:val="superscript"/>
        </w:rPr>
        <w:t>1</w:t>
      </w:r>
      <w:r w:rsidRPr="00604E39">
        <w:rPr>
          <w:sz w:val="18"/>
          <w:szCs w:val="18"/>
        </w:rPr>
        <w:t xml:space="preserve"> Zdroj dat: Národní onkologický registr ČR, www.svod.cz</w:t>
      </w:r>
      <w:r w:rsidRPr="00604E39">
        <w:rPr>
          <w:sz w:val="18"/>
          <w:szCs w:val="18"/>
        </w:rPr>
        <w:br/>
      </w:r>
      <w:r w:rsidRPr="00604E39">
        <w:rPr>
          <w:sz w:val="18"/>
          <w:szCs w:val="18"/>
          <w:vertAlign w:val="superscript"/>
        </w:rPr>
        <w:t xml:space="preserve">2 </w:t>
      </w:r>
      <w:r w:rsidRPr="00604E39">
        <w:rPr>
          <w:sz w:val="18"/>
          <w:szCs w:val="18"/>
        </w:rPr>
        <w:t xml:space="preserve">Zdroj dat: </w:t>
      </w:r>
      <w:r w:rsidR="00AB50F9">
        <w:rPr>
          <w:sz w:val="18"/>
          <w:szCs w:val="18"/>
        </w:rPr>
        <w:t>Predikce</w:t>
      </w:r>
      <w:r w:rsidRPr="00604E39">
        <w:rPr>
          <w:sz w:val="18"/>
          <w:szCs w:val="18"/>
        </w:rPr>
        <w:t xml:space="preserve"> počtu onkologických pacientů České onkologické společnosti ČLS JEP</w:t>
      </w:r>
    </w:p>
    <w:p w:rsidR="00565867" w:rsidRDefault="00565867" w:rsidP="00565867">
      <w:r>
        <w:t>Díky Národnímu onkologickému registru ČR je možné analyzovat dlouhodobé trendy v incidenci a mortalitě nádorových onemocnění (</w:t>
      </w:r>
      <w:r w:rsidRPr="003951F7">
        <w:rPr>
          <w:b/>
          <w:u w:val="single"/>
        </w:rPr>
        <w:t>obrázek 2</w:t>
      </w:r>
      <w:r>
        <w:t>). U KRK v posledních letech pozorujeme stabilizaci incidence a mírný pokles mortality. Ačkoliv lze tento trend považovat za pozitivní, zmíněný efekt „rozevírajících se nůžek“ mezi incidencí a mortalitou nutně vede ke značnému nárůstu prevalence, tedy žijících pacientů, kteří mají nebo někdy v minulosti měli kolorektální karcinom. Současných či bývalých pacientů s KRK žilo v ČR v roce 2012 téměř 54 tisíc a v následujících letech je očekáván další výrazný nárůst tohoto počtu (</w:t>
      </w:r>
      <w:r w:rsidRPr="00EB118B">
        <w:rPr>
          <w:b/>
          <w:u w:val="single"/>
        </w:rPr>
        <w:t>tabulka 2</w:t>
      </w:r>
      <w:r>
        <w:t>).</w:t>
      </w:r>
      <w:r w:rsidRPr="000B1EB1">
        <w:t xml:space="preserve"> K celkové epidemiologické zátěži české populace přispívá také výskyt nádorů </w:t>
      </w:r>
      <w:proofErr w:type="spellStart"/>
      <w:r w:rsidRPr="000B1EB1">
        <w:t>kolorekta</w:t>
      </w:r>
      <w:proofErr w:type="spellEnd"/>
      <w:r w:rsidRPr="000B1EB1">
        <w:t xml:space="preserve"> jako dalších (druhých, případně třetích) primárních zhoubných nádorů u téhož pacienta</w:t>
      </w:r>
      <w:r>
        <w:t>, kdy je kolorektální karcinom nalezen u pacientů, kteří byli v minulosti léčeni s jiným nádorem. Oba uvedené fakty, tedy zvyšující se prevalence a výskyt dalších primárních nádorů, znamenají stále vyšší nároky na onkologická pracoviště, která se musí samozřejmě věnovat i těmto pacientům, a současně i na celý zdravotnický systém, který tuto péči hradí.</w:t>
      </w:r>
    </w:p>
    <w:p w:rsidR="00853D5C" w:rsidRDefault="00853D5C" w:rsidP="00763509">
      <w:pPr>
        <w:rPr>
          <w:i/>
        </w:rPr>
      </w:pPr>
    </w:p>
    <w:p w:rsidR="00565867" w:rsidRDefault="00565867" w:rsidP="00763509">
      <w:pPr>
        <w:rPr>
          <w:i/>
        </w:rPr>
      </w:pPr>
    </w:p>
    <w:p w:rsidR="00763509" w:rsidRPr="00F10EB2" w:rsidRDefault="00763509" w:rsidP="00763509">
      <w:pPr>
        <w:rPr>
          <w:i/>
        </w:rPr>
      </w:pPr>
      <w:r w:rsidRPr="00F10EB2">
        <w:rPr>
          <w:i/>
        </w:rPr>
        <w:lastRenderedPageBreak/>
        <w:t>Obrázek 2: Dlouhodobé trendy v incidenci a mortalitě KRK v</w:t>
      </w:r>
      <w:r w:rsidR="007B62EE">
        <w:rPr>
          <w:i/>
        </w:rPr>
        <w:t> </w:t>
      </w:r>
      <w:r w:rsidRPr="00F10EB2">
        <w:rPr>
          <w:i/>
        </w:rPr>
        <w:t>ČR</w:t>
      </w:r>
      <w:r w:rsidR="007B62EE">
        <w:rPr>
          <w:i/>
        </w:rPr>
        <w:t xml:space="preserve">. </w:t>
      </w:r>
      <w:r w:rsidR="007B62EE" w:rsidRPr="007B62EE">
        <w:rPr>
          <w:i/>
        </w:rPr>
        <w:t>Zdroj dat: Národní onkologický registr ČR, www.svod.cz</w:t>
      </w:r>
    </w:p>
    <w:p w:rsidR="00763509" w:rsidRDefault="007B62EE" w:rsidP="00763509">
      <w:r>
        <w:rPr>
          <w:noProof/>
          <w:lang w:val="en-US"/>
        </w:rPr>
        <w:drawing>
          <wp:inline distT="0" distB="0" distL="0" distR="0" wp14:anchorId="539219E5">
            <wp:extent cx="5040000" cy="3603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AAE" w:rsidRDefault="007B3AAE" w:rsidP="007B3AAE">
      <w:pPr>
        <w:pStyle w:val="Heading2"/>
      </w:pPr>
      <w:r>
        <w:t>Pozdní diagnóza = nižší naděje na vyléčení</w:t>
      </w:r>
    </w:p>
    <w:p w:rsidR="003951F7" w:rsidRDefault="00ED5B57">
      <w:r w:rsidRPr="00ED5B57">
        <w:t>Je všeobecně známo, že záchyt onkologického onemocnění v méně pokročilém klinickém stadiu (anebo nejlépe ve fázi prekancerózy</w:t>
      </w:r>
      <w:r w:rsidR="0023323A">
        <w:t xml:space="preserve">, </w:t>
      </w:r>
      <w:r w:rsidR="00EB118B">
        <w:t>ještě před vznikem vlastního zhoubného nádoru</w:t>
      </w:r>
      <w:r w:rsidRPr="00ED5B57">
        <w:t xml:space="preserve">) výrazně zvyšuje naději na dobrý výsledek léčby a na dlouhodobé přežití. Dostupná populační data o kolorektálním karcinomu vystavují v tomto ohledu českému zdravotnictví nelichotivé hodnocení. Z </w:t>
      </w:r>
      <w:r w:rsidRPr="00EB118B">
        <w:rPr>
          <w:b/>
          <w:u w:val="single"/>
        </w:rPr>
        <w:t>obrázku 3</w:t>
      </w:r>
      <w:r w:rsidRPr="00ED5B57">
        <w:t xml:space="preserve"> vyplývá, že v ČR je více než 50 % nových pacientů s kolorektálním karcinomem diagnostikováno v klinickém stadiu III nebo vyšším. Situace se navíc v čase nijak nelepší a ani poslední dostupná data z roku 20</w:t>
      </w:r>
      <w:r>
        <w:t>1</w:t>
      </w:r>
      <w:r w:rsidR="0055781D">
        <w:t>2</w:t>
      </w:r>
      <w:r w:rsidR="00F6114D">
        <w:t xml:space="preserve"> nenaznačují pozitivní trend</w:t>
      </w:r>
      <w:r w:rsidRPr="00ED5B57">
        <w:t xml:space="preserve">. </w:t>
      </w:r>
      <w:r w:rsidR="00985A7F" w:rsidRPr="00ED5B57">
        <w:t>To samozřejmě významně zhoršuje dosažitelné výsledky léčby</w:t>
      </w:r>
      <w:r w:rsidR="00985A7F">
        <w:t xml:space="preserve"> a také zvyšuje náklady na léčbu, která je nejdražší právě u pokročilých stadií nemoci</w:t>
      </w:r>
      <w:r w:rsidR="00985A7F" w:rsidRPr="00ED5B57">
        <w:t>.</w:t>
      </w:r>
    </w:p>
    <w:p w:rsidR="00853D5C" w:rsidRPr="007E5A65" w:rsidRDefault="00853D5C" w:rsidP="00853D5C">
      <w:r>
        <w:t xml:space="preserve">Přesto recentní studie naznačují výrazně rostoucí úspěšnost léčby nádorových onemocnění v ČR, a to jak v čase, tak i ve srovnání s ostatními evropskými zeměmi. Jako standardní měřítko úspěšnosti léčby je používáno 5leté relativní přežití – údaj vyjadřující procento pacientů, kteří se dožijí 5 let od data diagnózy ve srovnání s populací bez daného </w:t>
      </w:r>
      <w:r w:rsidRPr="007E5A65">
        <w:t xml:space="preserve">onemocnění. Analýza </w:t>
      </w:r>
      <w:r>
        <w:t>Národního onkologického registru</w:t>
      </w:r>
      <w:r w:rsidRPr="007E5A65">
        <w:t xml:space="preserve"> ČR provedená na Institutu biostatistiky a analýz Masarykovy univerzity potvrdila, že přežití českých pacientů s KRK se prodlužuje; na druhé straně stále existuje propastný rozdíl v naději na dlouhodobé přežití mezi pacienty, kteří jsou diagnostikováni v počáteční a pokročilé fázi nemoci (</w:t>
      </w:r>
      <w:r w:rsidRPr="007E5A65">
        <w:rPr>
          <w:b/>
          <w:u w:val="single"/>
        </w:rPr>
        <w:t>tabulka 3</w:t>
      </w:r>
      <w:r w:rsidRPr="007E5A65">
        <w:t>). Uvedená čísla jednoznačně ukazují, jak je důležité nádorové onemocnění zachytit včas, kdy ještě existuje reálná šance na vyléčení.</w:t>
      </w:r>
    </w:p>
    <w:p w:rsidR="00853D5C" w:rsidRDefault="00853D5C"/>
    <w:p w:rsidR="00324B76" w:rsidRPr="00130C84" w:rsidRDefault="00324B76" w:rsidP="00324B76">
      <w:pPr>
        <w:rPr>
          <w:i/>
        </w:rPr>
      </w:pPr>
      <w:r w:rsidRPr="00130C84">
        <w:rPr>
          <w:i/>
        </w:rPr>
        <w:lastRenderedPageBreak/>
        <w:t>Obrázek 3: Podíl klinických stadií KRK při diagnóze</w:t>
      </w:r>
      <w:r w:rsidR="007B62EE" w:rsidRPr="00130C84">
        <w:rPr>
          <w:i/>
        </w:rPr>
        <w:t>. Zdroj dat: Národní onkologický registr ČR, www.svod.cz</w:t>
      </w:r>
    </w:p>
    <w:p w:rsidR="00324B76" w:rsidRDefault="00130C84" w:rsidP="00324B76">
      <w:r>
        <w:rPr>
          <w:noProof/>
          <w:lang w:val="en-US"/>
        </w:rPr>
        <w:drawing>
          <wp:inline distT="0" distB="0" distL="0" distR="0" wp14:anchorId="59334FE3">
            <wp:extent cx="5040000" cy="3603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B76" w:rsidRPr="00752C1A" w:rsidRDefault="00324B76" w:rsidP="00324B76">
      <w:pPr>
        <w:rPr>
          <w:i/>
        </w:rPr>
      </w:pPr>
      <w:r w:rsidRPr="00752C1A">
        <w:rPr>
          <w:i/>
        </w:rPr>
        <w:t xml:space="preserve">Tabulka 3: 5leté relativní přežití </w:t>
      </w:r>
      <w:r w:rsidR="005C7213">
        <w:rPr>
          <w:i/>
        </w:rPr>
        <w:t xml:space="preserve">léčených </w:t>
      </w:r>
      <w:r w:rsidRPr="00752C1A">
        <w:rPr>
          <w:i/>
        </w:rPr>
        <w:t>pacientů s KRK podle dat Národního onkologického registru ČR v obdobích 2000–200</w:t>
      </w:r>
      <w:r w:rsidR="005C7213">
        <w:rPr>
          <w:i/>
        </w:rPr>
        <w:t>3,</w:t>
      </w:r>
      <w:r w:rsidRPr="00752C1A">
        <w:rPr>
          <w:i/>
        </w:rPr>
        <w:t xml:space="preserve"> 200</w:t>
      </w:r>
      <w:r w:rsidR="005C7213">
        <w:rPr>
          <w:i/>
        </w:rPr>
        <w:t>4</w:t>
      </w:r>
      <w:r w:rsidRPr="00752C1A">
        <w:rPr>
          <w:i/>
        </w:rPr>
        <w:t>–200</w:t>
      </w:r>
      <w:r w:rsidR="005C7213">
        <w:rPr>
          <w:i/>
        </w:rPr>
        <w:t>7 a 2008–2011</w:t>
      </w:r>
      <w:r w:rsidR="00993FD8">
        <w:rPr>
          <w:i/>
        </w:rPr>
        <w:t xml:space="preserve">. </w:t>
      </w:r>
      <w:r w:rsidR="00993FD8" w:rsidRPr="00130C84">
        <w:rPr>
          <w:i/>
        </w:rPr>
        <w:t>Zdroj dat: Národní onkologický registr ČR</w:t>
      </w:r>
      <w:r w:rsidR="00993FD8">
        <w:rPr>
          <w:i/>
        </w:rPr>
        <w:t>, IBA MU</w:t>
      </w:r>
    </w:p>
    <w:tbl>
      <w:tblPr>
        <w:tblStyle w:val="TableGrid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408"/>
        <w:gridCol w:w="2408"/>
        <w:gridCol w:w="2409"/>
      </w:tblGrid>
      <w:tr w:rsidR="00324B76" w:rsidRPr="00C451F1" w:rsidTr="00C451F1"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324B76" w:rsidRPr="00C451F1" w:rsidRDefault="00324B76" w:rsidP="00306CC3">
            <w:pPr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24B76" w:rsidRPr="00C451F1" w:rsidRDefault="00324B76" w:rsidP="00B8710D">
            <w:pPr>
              <w:jc w:val="center"/>
              <w:rPr>
                <w:b/>
                <w:sz w:val="20"/>
              </w:rPr>
            </w:pPr>
            <w:r w:rsidRPr="00C451F1">
              <w:rPr>
                <w:b/>
                <w:sz w:val="20"/>
              </w:rPr>
              <w:t>5leté relativní přežití</w:t>
            </w:r>
            <w:r w:rsidRPr="00C451F1">
              <w:rPr>
                <w:b/>
                <w:sz w:val="20"/>
              </w:rPr>
              <w:br/>
              <w:t>v období 2000–200</w:t>
            </w:r>
            <w:r w:rsidR="005C7213" w:rsidRPr="00C451F1">
              <w:rPr>
                <w:b/>
                <w:sz w:val="20"/>
              </w:rPr>
              <w:t>3</w:t>
            </w:r>
            <w:r w:rsidR="00C451F1">
              <w:rPr>
                <w:b/>
                <w:sz w:val="20"/>
              </w:rPr>
              <w:t xml:space="preserve"> </w:t>
            </w:r>
            <w:r w:rsidRPr="00C451F1">
              <w:rPr>
                <w:b/>
                <w:sz w:val="20"/>
              </w:rPr>
              <w:t>(%)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24B76" w:rsidRPr="00C451F1" w:rsidRDefault="00324B76" w:rsidP="00B8710D">
            <w:pPr>
              <w:jc w:val="center"/>
              <w:rPr>
                <w:b/>
                <w:sz w:val="20"/>
              </w:rPr>
            </w:pPr>
            <w:r w:rsidRPr="00C451F1">
              <w:rPr>
                <w:b/>
                <w:sz w:val="20"/>
              </w:rPr>
              <w:t>5leté relativní přežití</w:t>
            </w:r>
            <w:r w:rsidR="00C451F1">
              <w:rPr>
                <w:b/>
                <w:sz w:val="20"/>
              </w:rPr>
              <w:br/>
            </w:r>
            <w:r w:rsidRPr="00C451F1">
              <w:rPr>
                <w:b/>
                <w:sz w:val="20"/>
              </w:rPr>
              <w:t>v období 200</w:t>
            </w:r>
            <w:r w:rsidR="005C7213" w:rsidRPr="00C451F1">
              <w:rPr>
                <w:b/>
                <w:sz w:val="20"/>
              </w:rPr>
              <w:t>4</w:t>
            </w:r>
            <w:r w:rsidRPr="00C451F1">
              <w:rPr>
                <w:b/>
                <w:sz w:val="20"/>
              </w:rPr>
              <w:t>–200</w:t>
            </w:r>
            <w:r w:rsidR="005C7213" w:rsidRPr="00C451F1">
              <w:rPr>
                <w:b/>
                <w:sz w:val="20"/>
              </w:rPr>
              <w:t>7</w:t>
            </w:r>
            <w:r w:rsidRPr="00C451F1">
              <w:rPr>
                <w:b/>
                <w:sz w:val="20"/>
              </w:rPr>
              <w:t xml:space="preserve"> (%)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24B76" w:rsidRPr="00C451F1" w:rsidRDefault="00C451F1" w:rsidP="00B8710D">
            <w:pPr>
              <w:jc w:val="center"/>
              <w:rPr>
                <w:b/>
                <w:sz w:val="20"/>
              </w:rPr>
            </w:pPr>
            <w:r w:rsidRPr="00C451F1">
              <w:rPr>
                <w:b/>
                <w:sz w:val="20"/>
              </w:rPr>
              <w:t>5leté relativní přežití v období 2008–2011 (%)</w:t>
            </w:r>
          </w:p>
        </w:tc>
      </w:tr>
      <w:tr w:rsidR="00324B76" w:rsidRPr="00C451F1" w:rsidTr="00C451F1">
        <w:tc>
          <w:tcPr>
            <w:tcW w:w="2061" w:type="dxa"/>
            <w:tcBorders>
              <w:top w:val="single" w:sz="4" w:space="0" w:color="auto"/>
            </w:tcBorders>
          </w:tcPr>
          <w:p w:rsidR="00324B76" w:rsidRPr="00C451F1" w:rsidRDefault="00324B76" w:rsidP="00306CC3">
            <w:pPr>
              <w:rPr>
                <w:b/>
                <w:sz w:val="20"/>
              </w:rPr>
            </w:pPr>
            <w:r w:rsidRPr="00C451F1">
              <w:rPr>
                <w:b/>
                <w:sz w:val="20"/>
              </w:rPr>
              <w:t>Klinické stadium I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324B76" w:rsidRPr="00C451F1" w:rsidRDefault="00C451F1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80,2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324B76" w:rsidRPr="00C451F1" w:rsidRDefault="00C451F1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24B76" w:rsidRPr="00C451F1" w:rsidRDefault="00C451F1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</w:tr>
      <w:tr w:rsidR="00324B76" w:rsidRPr="00C451F1" w:rsidTr="00C451F1">
        <w:tc>
          <w:tcPr>
            <w:tcW w:w="2061" w:type="dxa"/>
          </w:tcPr>
          <w:p w:rsidR="00324B76" w:rsidRPr="00C451F1" w:rsidRDefault="00324B76" w:rsidP="00306CC3">
            <w:pPr>
              <w:rPr>
                <w:b/>
                <w:sz w:val="20"/>
              </w:rPr>
            </w:pPr>
            <w:r w:rsidRPr="00C451F1">
              <w:rPr>
                <w:b/>
                <w:sz w:val="20"/>
              </w:rPr>
              <w:t>Klinické stadium II</w:t>
            </w:r>
          </w:p>
        </w:tc>
        <w:tc>
          <w:tcPr>
            <w:tcW w:w="2408" w:type="dxa"/>
            <w:vAlign w:val="center"/>
          </w:tcPr>
          <w:p w:rsidR="00324B76" w:rsidRPr="00C451F1" w:rsidRDefault="009171DB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65,8</w:t>
            </w:r>
          </w:p>
        </w:tc>
        <w:tc>
          <w:tcPr>
            <w:tcW w:w="2408" w:type="dxa"/>
            <w:vAlign w:val="center"/>
          </w:tcPr>
          <w:p w:rsidR="00324B76" w:rsidRPr="00C451F1" w:rsidRDefault="009171DB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71,6</w:t>
            </w:r>
          </w:p>
        </w:tc>
        <w:tc>
          <w:tcPr>
            <w:tcW w:w="2409" w:type="dxa"/>
            <w:vAlign w:val="center"/>
          </w:tcPr>
          <w:p w:rsidR="00324B76" w:rsidRPr="00C451F1" w:rsidRDefault="009171DB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77,1</w:t>
            </w:r>
          </w:p>
        </w:tc>
      </w:tr>
      <w:tr w:rsidR="00324B76" w:rsidRPr="00C451F1" w:rsidTr="00C451F1">
        <w:tc>
          <w:tcPr>
            <w:tcW w:w="2061" w:type="dxa"/>
          </w:tcPr>
          <w:p w:rsidR="00324B76" w:rsidRPr="00C451F1" w:rsidRDefault="00324B76" w:rsidP="00306CC3">
            <w:pPr>
              <w:rPr>
                <w:b/>
                <w:sz w:val="20"/>
              </w:rPr>
            </w:pPr>
            <w:r w:rsidRPr="00C451F1">
              <w:rPr>
                <w:b/>
                <w:sz w:val="20"/>
              </w:rPr>
              <w:t>Klinické stadium III</w:t>
            </w:r>
          </w:p>
        </w:tc>
        <w:tc>
          <w:tcPr>
            <w:tcW w:w="2408" w:type="dxa"/>
            <w:vAlign w:val="center"/>
          </w:tcPr>
          <w:p w:rsidR="00324B76" w:rsidRPr="00C451F1" w:rsidRDefault="009171DB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2408" w:type="dxa"/>
            <w:vAlign w:val="center"/>
          </w:tcPr>
          <w:p w:rsidR="00324B76" w:rsidRPr="00C451F1" w:rsidRDefault="009171DB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2409" w:type="dxa"/>
            <w:vAlign w:val="center"/>
          </w:tcPr>
          <w:p w:rsidR="00324B76" w:rsidRPr="00C451F1" w:rsidRDefault="009171DB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</w:tr>
      <w:tr w:rsidR="00324B76" w:rsidRPr="00C451F1" w:rsidTr="00580AA5">
        <w:tc>
          <w:tcPr>
            <w:tcW w:w="2061" w:type="dxa"/>
          </w:tcPr>
          <w:p w:rsidR="00324B76" w:rsidRPr="00C451F1" w:rsidRDefault="00324B76" w:rsidP="00306CC3">
            <w:pPr>
              <w:rPr>
                <w:b/>
                <w:sz w:val="20"/>
              </w:rPr>
            </w:pPr>
            <w:r w:rsidRPr="00C451F1">
              <w:rPr>
                <w:b/>
                <w:sz w:val="20"/>
              </w:rPr>
              <w:t>Klinické stadium IV</w:t>
            </w:r>
          </w:p>
        </w:tc>
        <w:tc>
          <w:tcPr>
            <w:tcW w:w="2408" w:type="dxa"/>
            <w:vAlign w:val="center"/>
          </w:tcPr>
          <w:p w:rsidR="00324B76" w:rsidRPr="00C451F1" w:rsidRDefault="009171DB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2408" w:type="dxa"/>
            <w:vAlign w:val="center"/>
          </w:tcPr>
          <w:p w:rsidR="00324B76" w:rsidRPr="00C451F1" w:rsidRDefault="009171DB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</w:t>
            </w:r>
          </w:p>
        </w:tc>
        <w:tc>
          <w:tcPr>
            <w:tcW w:w="2409" w:type="dxa"/>
            <w:vAlign w:val="center"/>
          </w:tcPr>
          <w:p w:rsidR="00324B76" w:rsidRPr="00C451F1" w:rsidRDefault="009171DB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</w:tr>
      <w:tr w:rsidR="00580AA5" w:rsidRPr="00C451F1" w:rsidTr="00C451F1">
        <w:tc>
          <w:tcPr>
            <w:tcW w:w="2061" w:type="dxa"/>
            <w:tcBorders>
              <w:bottom w:val="single" w:sz="4" w:space="0" w:color="auto"/>
            </w:tcBorders>
          </w:tcPr>
          <w:p w:rsidR="00580AA5" w:rsidRPr="00C451F1" w:rsidRDefault="003E29D8" w:rsidP="00306C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Všechna stadia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580AA5" w:rsidRDefault="00580AA5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580AA5" w:rsidRDefault="00580AA5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80AA5" w:rsidRDefault="00580AA5" w:rsidP="00306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62,0</w:t>
            </w:r>
          </w:p>
        </w:tc>
      </w:tr>
    </w:tbl>
    <w:p w:rsidR="00324B76" w:rsidRDefault="00324B76" w:rsidP="00324B76"/>
    <w:p w:rsidR="00792AAA" w:rsidRDefault="00F71FF4">
      <w:r>
        <w:t xml:space="preserve">Evropská </w:t>
      </w:r>
      <w:r w:rsidRPr="00F71FF4">
        <w:t>studie EUROCARE-5 analyzovala údaje z onkologických registrů 29 zemí za účelem srovnání 5letého přežití více než 9 milionů onkologických pacientů v letech 2000–2007.</w:t>
      </w:r>
      <w:r>
        <w:t xml:space="preserve"> Studie potvrdila, že česká onkologie </w:t>
      </w:r>
      <w:r w:rsidR="002A7F08">
        <w:t xml:space="preserve">se </w:t>
      </w:r>
      <w:r>
        <w:t xml:space="preserve">začíná svými výsledky </w:t>
      </w:r>
      <w:r w:rsidR="002A7F08">
        <w:t>přibližovat evropskému průměru a u drtivé většiny hodnocených diagnóz</w:t>
      </w:r>
      <w:r w:rsidR="00EF3B5E">
        <w:t>, včetně nádorů tlustého střeva a konečníku,</w:t>
      </w:r>
      <w:r w:rsidR="002A7F08">
        <w:t xml:space="preserve"> je na tom výrazně lépe než ostatní země bývalého </w:t>
      </w:r>
      <w:r w:rsidR="00B8710D">
        <w:t>„</w:t>
      </w:r>
      <w:r w:rsidR="002A7F08">
        <w:t>východního bloku</w:t>
      </w:r>
      <w:r w:rsidR="00B8710D">
        <w:t>“</w:t>
      </w:r>
      <w:r w:rsidR="002A7F08">
        <w:t xml:space="preserve"> (</w:t>
      </w:r>
      <w:r w:rsidR="002A7F08" w:rsidRPr="002A7F08">
        <w:rPr>
          <w:b/>
          <w:u w:val="single"/>
        </w:rPr>
        <w:t>tabulka 4</w:t>
      </w:r>
      <w:r w:rsidR="002A7F08">
        <w:t>).</w:t>
      </w:r>
    </w:p>
    <w:p w:rsidR="00853D5C" w:rsidRDefault="00853D5C"/>
    <w:p w:rsidR="00B8710D" w:rsidRDefault="00B8710D"/>
    <w:p w:rsidR="00853D5C" w:rsidRDefault="00853D5C"/>
    <w:p w:rsidR="00F71FF4" w:rsidRPr="00752C1A" w:rsidRDefault="002A7F08">
      <w:pPr>
        <w:rPr>
          <w:i/>
        </w:rPr>
      </w:pPr>
      <w:r w:rsidRPr="00752C1A">
        <w:rPr>
          <w:i/>
        </w:rPr>
        <w:lastRenderedPageBreak/>
        <w:t>Tabulka 4: 5leté relativní přežití pacientů s KRK podle studie EUROCARE-5 v období 2000–2007 (</w:t>
      </w:r>
      <w:r w:rsidR="001C34CD" w:rsidRPr="00752C1A">
        <w:rPr>
          <w:i/>
        </w:rPr>
        <w:t>D</w:t>
      </w:r>
      <w:r w:rsidRPr="00752C1A">
        <w:rPr>
          <w:i/>
        </w:rPr>
        <w:t xml:space="preserve">e </w:t>
      </w:r>
      <w:proofErr w:type="spellStart"/>
      <w:r w:rsidRPr="00752C1A">
        <w:rPr>
          <w:i/>
        </w:rPr>
        <w:t>Angelis</w:t>
      </w:r>
      <w:proofErr w:type="spellEnd"/>
      <w:r w:rsidRPr="00752C1A">
        <w:rPr>
          <w:i/>
        </w:rPr>
        <w:t xml:space="preserve"> et al., 2014)</w:t>
      </w:r>
    </w:p>
    <w:tbl>
      <w:tblPr>
        <w:tblStyle w:val="TableGrid"/>
        <w:tblW w:w="6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483"/>
        <w:gridCol w:w="2087"/>
      </w:tblGrid>
      <w:tr w:rsidR="003D021B" w:rsidRPr="003D021B" w:rsidTr="003F6904"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3D021B" w:rsidRPr="003D021B" w:rsidRDefault="003D021B">
            <w:pPr>
              <w:rPr>
                <w:rFonts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21B" w:rsidRPr="003D021B" w:rsidRDefault="003D021B" w:rsidP="003F6904">
            <w:pPr>
              <w:jc w:val="center"/>
              <w:rPr>
                <w:rFonts w:cs="Times New Roman"/>
                <w:b/>
              </w:rPr>
            </w:pPr>
            <w:r w:rsidRPr="003D021B">
              <w:rPr>
                <w:rFonts w:cs="Times New Roman"/>
                <w:b/>
              </w:rPr>
              <w:t>ZN tlustého střeva (%)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21B" w:rsidRPr="003D021B" w:rsidRDefault="003D021B" w:rsidP="003F6904">
            <w:pPr>
              <w:jc w:val="center"/>
              <w:rPr>
                <w:rFonts w:cs="Times New Roman"/>
                <w:b/>
              </w:rPr>
            </w:pPr>
            <w:r w:rsidRPr="003D021B">
              <w:rPr>
                <w:rFonts w:cs="Times New Roman"/>
                <w:b/>
              </w:rPr>
              <w:t>ZN konečníku (%)</w:t>
            </w:r>
          </w:p>
        </w:tc>
      </w:tr>
      <w:tr w:rsidR="003D021B" w:rsidRPr="003D021B" w:rsidTr="003F6904"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:rsidR="003D021B" w:rsidRPr="003D021B" w:rsidRDefault="003D021B" w:rsidP="00306CC3">
            <w:pPr>
              <w:rPr>
                <w:rFonts w:cs="Times New Roman"/>
                <w:b/>
              </w:rPr>
            </w:pPr>
            <w:r w:rsidRPr="003D021B">
              <w:rPr>
                <w:rFonts w:cs="Times New Roman"/>
                <w:b/>
              </w:rPr>
              <w:t>Severní Evropa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59,0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59,5</w:t>
            </w:r>
          </w:p>
        </w:tc>
      </w:tr>
      <w:tr w:rsidR="003D021B" w:rsidRPr="003D021B" w:rsidTr="003F6904">
        <w:tc>
          <w:tcPr>
            <w:tcW w:w="2086" w:type="dxa"/>
            <w:vAlign w:val="center"/>
          </w:tcPr>
          <w:p w:rsidR="003D021B" w:rsidRPr="003D021B" w:rsidRDefault="003D021B" w:rsidP="00306CC3">
            <w:pPr>
              <w:rPr>
                <w:rFonts w:cs="Times New Roman"/>
                <w:b/>
              </w:rPr>
            </w:pPr>
            <w:r w:rsidRPr="003D021B">
              <w:rPr>
                <w:rFonts w:cs="Times New Roman"/>
                <w:b/>
              </w:rPr>
              <w:t>V. Británie a Irsko</w:t>
            </w:r>
          </w:p>
        </w:tc>
        <w:tc>
          <w:tcPr>
            <w:tcW w:w="2483" w:type="dxa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51,8</w:t>
            </w:r>
          </w:p>
        </w:tc>
        <w:tc>
          <w:tcPr>
            <w:tcW w:w="2087" w:type="dxa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53,7</w:t>
            </w:r>
          </w:p>
        </w:tc>
      </w:tr>
      <w:tr w:rsidR="003D021B" w:rsidRPr="003D021B" w:rsidTr="003F6904">
        <w:tc>
          <w:tcPr>
            <w:tcW w:w="2086" w:type="dxa"/>
            <w:vAlign w:val="center"/>
          </w:tcPr>
          <w:p w:rsidR="003D021B" w:rsidRPr="003D021B" w:rsidRDefault="003D021B" w:rsidP="00306CC3">
            <w:pPr>
              <w:pStyle w:val="NormalWeb"/>
              <w:spacing w:before="0" w:beforeAutospacing="0" w:after="0" w:afterAutospacing="0"/>
              <w:textAlignment w:val="bottom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021B">
              <w:rPr>
                <w:rFonts w:eastAsiaTheme="minorHAnsi"/>
                <w:b/>
                <w:sz w:val="22"/>
                <w:szCs w:val="22"/>
                <w:lang w:eastAsia="en-US"/>
              </w:rPr>
              <w:t>Střední Evropa</w:t>
            </w:r>
          </w:p>
        </w:tc>
        <w:tc>
          <w:tcPr>
            <w:tcW w:w="2483" w:type="dxa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60,5</w:t>
            </w:r>
          </w:p>
        </w:tc>
        <w:tc>
          <w:tcPr>
            <w:tcW w:w="2087" w:type="dxa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60,1</w:t>
            </w:r>
          </w:p>
        </w:tc>
      </w:tr>
      <w:tr w:rsidR="003D021B" w:rsidRPr="003D021B" w:rsidTr="003F6904">
        <w:tc>
          <w:tcPr>
            <w:tcW w:w="2086" w:type="dxa"/>
            <w:vAlign w:val="center"/>
          </w:tcPr>
          <w:p w:rsidR="003D021B" w:rsidRPr="003D021B" w:rsidRDefault="003D021B" w:rsidP="00306CC3">
            <w:pPr>
              <w:pStyle w:val="NormalWeb"/>
              <w:spacing w:before="0" w:beforeAutospacing="0" w:after="0" w:afterAutospacing="0"/>
              <w:textAlignment w:val="bottom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021B">
              <w:rPr>
                <w:rFonts w:eastAsiaTheme="minorHAnsi"/>
                <w:b/>
                <w:sz w:val="22"/>
                <w:szCs w:val="22"/>
                <w:lang w:eastAsia="en-US"/>
              </w:rPr>
              <w:t>Jižní Evropa</w:t>
            </w:r>
          </w:p>
        </w:tc>
        <w:tc>
          <w:tcPr>
            <w:tcW w:w="2483" w:type="dxa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58,5</w:t>
            </w:r>
          </w:p>
        </w:tc>
        <w:tc>
          <w:tcPr>
            <w:tcW w:w="2087" w:type="dxa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55,4</w:t>
            </w:r>
          </w:p>
        </w:tc>
      </w:tr>
      <w:tr w:rsidR="003D021B" w:rsidRPr="003D021B" w:rsidTr="003F6904">
        <w:tc>
          <w:tcPr>
            <w:tcW w:w="2086" w:type="dxa"/>
            <w:vAlign w:val="center"/>
          </w:tcPr>
          <w:p w:rsidR="003D021B" w:rsidRPr="003D021B" w:rsidRDefault="003D021B" w:rsidP="00306CC3">
            <w:pPr>
              <w:pStyle w:val="NormalWeb"/>
              <w:spacing w:before="0" w:beforeAutospacing="0" w:after="0" w:afterAutospacing="0"/>
              <w:textAlignment w:val="bottom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021B">
              <w:rPr>
                <w:rFonts w:eastAsiaTheme="minorHAnsi"/>
                <w:b/>
                <w:sz w:val="22"/>
                <w:szCs w:val="22"/>
                <w:lang w:eastAsia="en-US"/>
              </w:rPr>
              <w:t>Východní Evropa</w:t>
            </w:r>
          </w:p>
        </w:tc>
        <w:tc>
          <w:tcPr>
            <w:tcW w:w="2483" w:type="dxa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49,4</w:t>
            </w:r>
          </w:p>
        </w:tc>
        <w:tc>
          <w:tcPr>
            <w:tcW w:w="2087" w:type="dxa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44,6</w:t>
            </w:r>
          </w:p>
        </w:tc>
      </w:tr>
      <w:tr w:rsidR="003D021B" w:rsidRPr="003D021B" w:rsidTr="003F6904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3D021B" w:rsidRPr="003D021B" w:rsidRDefault="003D021B" w:rsidP="00306CC3">
            <w:pPr>
              <w:rPr>
                <w:rFonts w:cs="Times New Roman"/>
                <w:b/>
              </w:rPr>
            </w:pPr>
            <w:r w:rsidRPr="003D021B">
              <w:rPr>
                <w:rFonts w:cs="Times New Roman"/>
                <w:b/>
              </w:rPr>
              <w:t>Česká republika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52,5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48,7</w:t>
            </w:r>
          </w:p>
        </w:tc>
      </w:tr>
      <w:tr w:rsidR="003D021B" w:rsidRPr="003D021B" w:rsidTr="003F6904"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3D021B" w:rsidRPr="003D021B" w:rsidRDefault="003D021B" w:rsidP="00306CC3">
            <w:pPr>
              <w:rPr>
                <w:rFonts w:cs="Times New Roman"/>
                <w:b/>
              </w:rPr>
            </w:pPr>
            <w:r w:rsidRPr="003D021B">
              <w:rPr>
                <w:rFonts w:cs="Times New Roman"/>
                <w:b/>
              </w:rPr>
              <w:t>Evropský průměr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57,0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3D021B" w:rsidRPr="003D021B" w:rsidRDefault="003D021B" w:rsidP="003D0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55,8</w:t>
            </w:r>
          </w:p>
        </w:tc>
      </w:tr>
    </w:tbl>
    <w:p w:rsidR="000116B4" w:rsidRDefault="000116B4" w:rsidP="000116B4">
      <w:pPr>
        <w:rPr>
          <w:rFonts w:eastAsiaTheme="majorEastAsia" w:cstheme="majorBidi"/>
          <w:color w:val="4F81BD" w:themeColor="accent1"/>
          <w:sz w:val="26"/>
          <w:szCs w:val="26"/>
        </w:rPr>
      </w:pPr>
    </w:p>
    <w:p w:rsidR="00792AAA" w:rsidRDefault="00EB118B" w:rsidP="00792AAA">
      <w:pPr>
        <w:pStyle w:val="Heading2"/>
      </w:pPr>
      <w:r>
        <w:t>Velká</w:t>
      </w:r>
      <w:r w:rsidR="00792AAA">
        <w:t xml:space="preserve"> šance na změnu – </w:t>
      </w:r>
      <w:r w:rsidR="00604E39">
        <w:t>zvaní občanů do screeningového</w:t>
      </w:r>
      <w:r w:rsidR="00792AAA">
        <w:t xml:space="preserve"> program</w:t>
      </w:r>
      <w:r w:rsidR="00604E39">
        <w:t>u</w:t>
      </w:r>
    </w:p>
    <w:p w:rsidR="00792AAA" w:rsidRDefault="00792AAA">
      <w:r>
        <w:t>Pod pojmem screening rozumíme pravidelné preventivní vyšetření obyvatel z definované cílové skupiny, u nichž nepozorujeme žádné příznaky daného</w:t>
      </w:r>
      <w:r w:rsidR="00B8710D">
        <w:t xml:space="preserve"> onemocnění</w:t>
      </w:r>
      <w:r>
        <w:t xml:space="preserve">. </w:t>
      </w:r>
      <w:r w:rsidR="007B28A1">
        <w:t>J</w:t>
      </w:r>
      <w:r>
        <w:t xml:space="preserve">estliže člověk trpí např. krvácením do stolice, častými zácpami, průjmy a dalšími symptomy </w:t>
      </w:r>
      <w:r w:rsidR="00EB118B">
        <w:t xml:space="preserve">s možnou vazbou na </w:t>
      </w:r>
      <w:r>
        <w:t xml:space="preserve">KRK, nejedná se u něj již o screeningové vyšetření, ale o diagnostiku možného onemocnění </w:t>
      </w:r>
      <w:r w:rsidR="00AB6131">
        <w:t>trávicího</w:t>
      </w:r>
      <w:r>
        <w:t xml:space="preserve"> traktu.</w:t>
      </w:r>
      <w:r w:rsidR="00AB6131">
        <w:t xml:space="preserve"> Podobně pokud se v rodině vyskytuje nádorové či jiné onemocnění střev s vyšší frekvencí, je takový člověk považován za rizikového z hlediska vzniku KRK a</w:t>
      </w:r>
      <w:r w:rsidR="0023323A">
        <w:t xml:space="preserve"> </w:t>
      </w:r>
      <w:r w:rsidR="0023323A" w:rsidRPr="0023323A">
        <w:t>měl by se preventivních vyšetření účastnit ještě častěji</w:t>
      </w:r>
      <w:r w:rsidR="00AB6131">
        <w:t xml:space="preserve"> </w:t>
      </w:r>
      <w:r w:rsidR="00EB118B">
        <w:t xml:space="preserve">a dříve </w:t>
      </w:r>
      <w:r w:rsidR="00AB6131">
        <w:t>než v běžném screeningu.</w:t>
      </w:r>
    </w:p>
    <w:p w:rsidR="00C605F6" w:rsidRDefault="00C605F6">
      <w:r>
        <w:t>Program screeningu KRK je v ČR u</w:t>
      </w:r>
      <w:r w:rsidR="002865C5">
        <w:t>rčen všem obyvatelům nad 50 let a zahrnuje 2 typy vyšetření:</w:t>
      </w:r>
    </w:p>
    <w:p w:rsidR="002865C5" w:rsidRDefault="002865C5" w:rsidP="002865C5">
      <w:pPr>
        <w:pStyle w:val="ListParagraph"/>
        <w:numPr>
          <w:ilvl w:val="0"/>
          <w:numId w:val="1"/>
        </w:numPr>
      </w:pPr>
      <w:r>
        <w:t>Test na okultní krvácení do stolice (</w:t>
      </w:r>
      <w:r w:rsidRPr="00B8710D">
        <w:rPr>
          <w:b/>
          <w:u w:val="single"/>
        </w:rPr>
        <w:t xml:space="preserve">dostupný </w:t>
      </w:r>
      <w:r w:rsidR="0078194C" w:rsidRPr="00B8710D">
        <w:rPr>
          <w:b/>
          <w:u w:val="single"/>
        </w:rPr>
        <w:t xml:space="preserve">u </w:t>
      </w:r>
      <w:r w:rsidRPr="00B8710D">
        <w:rPr>
          <w:b/>
          <w:u w:val="single"/>
        </w:rPr>
        <w:t>praktických lékařů a gynekologů</w:t>
      </w:r>
      <w:r>
        <w:t>)</w:t>
      </w:r>
    </w:p>
    <w:p w:rsidR="002865C5" w:rsidRDefault="002865C5" w:rsidP="002865C5">
      <w:pPr>
        <w:pStyle w:val="ListParagraph"/>
        <w:numPr>
          <w:ilvl w:val="0"/>
          <w:numId w:val="1"/>
        </w:numPr>
      </w:pPr>
      <w:r>
        <w:t xml:space="preserve">Screeningová kolonoskopie (provádí se na specializovaných gastroenterologických pracovištích, jejichž seznam je k dispozici např. na </w:t>
      </w:r>
      <w:hyperlink r:id="rId16" w:history="1">
        <w:r w:rsidR="00EB118B" w:rsidRPr="007968F4">
          <w:rPr>
            <w:rStyle w:val="Hyperlink"/>
          </w:rPr>
          <w:t>www.kolorektum.cz</w:t>
        </w:r>
      </w:hyperlink>
      <w:r w:rsidR="00F43FA0">
        <w:t xml:space="preserve">, </w:t>
      </w:r>
      <w:r w:rsidR="0078194C">
        <w:rPr>
          <w:b/>
          <w:u w:val="single"/>
        </w:rPr>
        <w:t>na toto vyšetření rovněž klienta odesílá praktický lékař nebo gynekolog</w:t>
      </w:r>
      <w:r>
        <w:t>)</w:t>
      </w:r>
    </w:p>
    <w:p w:rsidR="00B87643" w:rsidRDefault="00352DE2" w:rsidP="002865C5">
      <w:r w:rsidRPr="00352DE2">
        <w:t xml:space="preserve">Postup </w:t>
      </w:r>
      <w:r>
        <w:t>při screeningovém preventivním vyšetření</w:t>
      </w:r>
      <w:r w:rsidRPr="00352DE2">
        <w:t xml:space="preserve"> je rozděl</w:t>
      </w:r>
      <w:r>
        <w:t xml:space="preserve">en </w:t>
      </w:r>
      <w:r w:rsidRPr="00352DE2">
        <w:t>do dvou kategorií dle věkových skupin vyšetřovaných jedinců</w:t>
      </w:r>
      <w:r w:rsidR="00F43FA0">
        <w:t xml:space="preserve"> (</w:t>
      </w:r>
      <w:r w:rsidR="00F43FA0" w:rsidRPr="00EB118B">
        <w:rPr>
          <w:b/>
          <w:u w:val="single"/>
        </w:rPr>
        <w:t xml:space="preserve">obrázek </w:t>
      </w:r>
      <w:r w:rsidR="00604E39">
        <w:rPr>
          <w:b/>
          <w:u w:val="single"/>
        </w:rPr>
        <w:t>4</w:t>
      </w:r>
      <w:r w:rsidR="00F43FA0">
        <w:t>)</w:t>
      </w:r>
      <w:r w:rsidRPr="00352DE2">
        <w:t>.</w:t>
      </w:r>
      <w:r w:rsidR="00555BED">
        <w:t xml:space="preserve"> </w:t>
      </w:r>
      <w:r w:rsidR="00A7155B">
        <w:t>K</w:t>
      </w:r>
      <w:r w:rsidR="00B87643">
        <w:t>lient v</w:t>
      </w:r>
      <w:r w:rsidR="004E0FC4">
        <w:t>e věku 50–54 let má právo každý</w:t>
      </w:r>
      <w:r w:rsidR="00B87643">
        <w:t xml:space="preserve"> rok na bezplatný test na okultní krvácení do stolice (TOKS), který dostane u svého registrujícího praktického lékaře nebo gynekologa. V případě negativního výsledku (žádné krvácení) je test po roce opakován, při pozitivním výsledku (zjištěno skryté krvácení) je klient odeslán na screeningovou kolonoskopii. Jestliže kolonoskopie nezjistí nádorové onemocnění, </w:t>
      </w:r>
      <w:r w:rsidR="00B87643" w:rsidRPr="00B87643">
        <w:t>screeningový program je na</w:t>
      </w:r>
      <w:r w:rsidR="00B87643">
        <w:t xml:space="preserve"> 10 let přerušen. Klient ve věku od 55 let má již na začátku možnost výběru mezi TOKS (1x za 2 roky) a primární screeningovou kolonoskopií. Další postup je podobný jako u mladší věkové skupiny, tedy </w:t>
      </w:r>
      <w:r w:rsidR="004A3780">
        <w:t>při pozitivním</w:t>
      </w:r>
      <w:r w:rsidR="00B87643">
        <w:t xml:space="preserve"> TOKS následuje kolonoskopie, v případě negativní kolonoskopie je další vyšetření provedeno za 10 let.</w:t>
      </w:r>
    </w:p>
    <w:p w:rsidR="00C8177C" w:rsidRDefault="00A52470">
      <w:r>
        <w:t xml:space="preserve">Český screeningový program je organizovaný, což znamená, že existuje systém garantující jeho účinnost a </w:t>
      </w:r>
      <w:r w:rsidR="00EB118B">
        <w:t xml:space="preserve">především </w:t>
      </w:r>
      <w:r>
        <w:t>bezpečnost. Hlavním garantem je Ministerstvo zdravotnictví ČR a jeho komise pro screening KRK, jejímiž členy jsou zástupci zapojených lékařských odborností (gastroenterologové, praktičtí lékaři, gynekologové, onkologové), ministerstva a zdravotních pojišťoven. Výkonnost a bezpečnost programu je sledována prostřednictvím údajů, které poskytují Národní referenční centrum (data zdravotních pojišťoven) a jednotlivá pracoviště provádějící screeningové kolonoskopie. Jejich vyhodnocování provádí Institut biostatistiky a analýz Masarykovy univerzity, který zároveň poskytuje programu komplexní informační zázemí.</w:t>
      </w:r>
    </w:p>
    <w:p w:rsidR="00D038EA" w:rsidRDefault="00D038EA">
      <w:r>
        <w:lastRenderedPageBreak/>
        <w:t xml:space="preserve">I díky diskuzím a závěrům prvních dvou ročníků </w:t>
      </w:r>
      <w:r w:rsidR="004A3780">
        <w:t>konference Evropské</w:t>
      </w:r>
      <w:r>
        <w:t xml:space="preserve"> dn</w:t>
      </w:r>
      <w:r w:rsidR="004A3780">
        <w:t>y</w:t>
      </w:r>
      <w:r>
        <w:t xml:space="preserve"> kolorektálního karcinomu probíhá od 1. ledna 2014 ve spolupráci MZ ČR a zdravotních pojišťoven projekt adresného zvaní občanů do screeningových programů. </w:t>
      </w:r>
      <w:r w:rsidR="00015D8B">
        <w:t>Tímto krokem dosáhl český screeningový program nejvyšší úrovně organizace</w:t>
      </w:r>
      <w:r w:rsidR="008A55C2">
        <w:t xml:space="preserve"> dle kritérií IARC</w:t>
      </w:r>
      <w:r w:rsidR="0078194C">
        <w:t xml:space="preserve"> (Mezinárodní agentury pro výzkum rakoviny)</w:t>
      </w:r>
      <w:r w:rsidR="00015D8B">
        <w:t xml:space="preserve"> a stal se populačním. </w:t>
      </w:r>
      <w:r>
        <w:t xml:space="preserve">Každý pojištěnec nad 50 let, který se v posledních letech nezúčastnil preventivního vyšetření, dostane pozvánku s podrobným návodem, kam se obrátit a jaká vyšetření ho čekají. Cílem je především zvýšit nedostatečnou účast v programech screeningu zhoubných nádorů, a to zejména u KRK, kde </w:t>
      </w:r>
      <w:r w:rsidR="004A3780">
        <w:t xml:space="preserve">účast </w:t>
      </w:r>
      <w:r w:rsidR="000A7C11">
        <w:t>před zaved</w:t>
      </w:r>
      <w:r w:rsidR="004A3780">
        <w:t>e</w:t>
      </w:r>
      <w:r w:rsidR="000A7C11">
        <w:t>ním adresného zvaní</w:t>
      </w:r>
      <w:r>
        <w:t xml:space="preserve"> dosah</w:t>
      </w:r>
      <w:r w:rsidR="000A7C11">
        <w:t>oval</w:t>
      </w:r>
      <w:r w:rsidR="004A3780">
        <w:t>a</w:t>
      </w:r>
      <w:r>
        <w:t xml:space="preserve"> pouze 2</w:t>
      </w:r>
      <w:r w:rsidR="004116A6">
        <w:t>6</w:t>
      </w:r>
      <w:r>
        <w:t xml:space="preserve"> %. K dosažení významného poklesu mortality na populační úrovni, je třeba toto číslo přinejmenším zdvojnásobit. Projekt je doprovázen informační kampaní, která cílovým skupinám obyvatelstva vysvětluje důležitost a výhody preventivních vyšetření.</w:t>
      </w:r>
      <w:r w:rsidRPr="00D85AD3">
        <w:t xml:space="preserve"> </w:t>
      </w:r>
      <w:r>
        <w:t>O propagaci screeningového programu a informování veřejnosti se snaží také neziskové a pacientské organizace (</w:t>
      </w:r>
      <w:proofErr w:type="spellStart"/>
      <w:r>
        <w:t>Onkomaják</w:t>
      </w:r>
      <w:proofErr w:type="spellEnd"/>
      <w:r>
        <w:t>, Liga proti rakovině, České ILCO a další).</w:t>
      </w:r>
    </w:p>
    <w:p w:rsidR="0036512D" w:rsidRPr="0036512D" w:rsidRDefault="0036512D" w:rsidP="0036512D">
      <w:pPr>
        <w:rPr>
          <w:i/>
        </w:rPr>
      </w:pPr>
      <w:r w:rsidRPr="0036512D">
        <w:rPr>
          <w:i/>
        </w:rPr>
        <w:t xml:space="preserve">Obrázek </w:t>
      </w:r>
      <w:r w:rsidR="00604E39">
        <w:rPr>
          <w:i/>
        </w:rPr>
        <w:t>4</w:t>
      </w:r>
      <w:r w:rsidRPr="0036512D">
        <w:rPr>
          <w:i/>
        </w:rPr>
        <w:t>: Schéma postupu při screeningu KRK v ČR u klientů ve věku 50–54 let (vlevo) a od 55 let výše (vpravo)</w:t>
      </w:r>
      <w:r w:rsidR="00565867">
        <w:rPr>
          <w:i/>
        </w:rPr>
        <w:t>. Zdroj: www.kolorektum.cz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39"/>
      </w:tblGrid>
      <w:tr w:rsidR="0036512D" w:rsidTr="00990178">
        <w:tc>
          <w:tcPr>
            <w:tcW w:w="4606" w:type="dxa"/>
          </w:tcPr>
          <w:p w:rsidR="0036512D" w:rsidRDefault="0036512D" w:rsidP="00990178">
            <w:r>
              <w:rPr>
                <w:noProof/>
                <w:lang w:val="en-US"/>
              </w:rPr>
              <w:drawing>
                <wp:inline distT="0" distB="0" distL="0" distR="0" wp14:anchorId="252C7748" wp14:editId="35E8C84B">
                  <wp:extent cx="2824856" cy="2723379"/>
                  <wp:effectExtent l="19050" t="0" r="0" b="0"/>
                  <wp:docPr id="8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266" cy="272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6512D" w:rsidRDefault="0036512D" w:rsidP="00990178">
            <w:r>
              <w:rPr>
                <w:noProof/>
                <w:lang w:val="en-US"/>
              </w:rPr>
              <w:drawing>
                <wp:inline distT="0" distB="0" distL="0" distR="0" wp14:anchorId="3E58B57F" wp14:editId="6C379137">
                  <wp:extent cx="2819048" cy="2283429"/>
                  <wp:effectExtent l="19050" t="0" r="352" b="0"/>
                  <wp:docPr id="9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048" cy="228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B33" w:rsidRDefault="00A96B33" w:rsidP="002548FF">
      <w:pPr>
        <w:pStyle w:val="Heading2"/>
      </w:pPr>
    </w:p>
    <w:p w:rsidR="00A96B33" w:rsidRDefault="00A96B33" w:rsidP="00A96B33">
      <w:pPr>
        <w:rPr>
          <w:rFonts w:eastAsiaTheme="majorEastAsia" w:cstheme="majorBidi"/>
          <w:color w:val="4F81BD" w:themeColor="accent1"/>
          <w:sz w:val="26"/>
          <w:szCs w:val="26"/>
        </w:rPr>
      </w:pPr>
      <w:r>
        <w:br w:type="page"/>
      </w:r>
    </w:p>
    <w:p w:rsidR="0055781D" w:rsidRDefault="0055781D" w:rsidP="0055781D">
      <w:pPr>
        <w:pStyle w:val="Heading2"/>
        <w:spacing w:before="0" w:after="0"/>
      </w:pPr>
      <w:r>
        <w:lastRenderedPageBreak/>
        <w:t>Péče o pacienty musí být včasná, komplexní a mezioborová</w:t>
      </w:r>
    </w:p>
    <w:p w:rsidR="0055781D" w:rsidRDefault="0055781D" w:rsidP="0055781D">
      <w:pPr>
        <w:pStyle w:val="Heading2"/>
        <w:spacing w:before="0" w:after="0"/>
      </w:pPr>
      <w:r>
        <w:t>…a především dostupná</w:t>
      </w:r>
    </w:p>
    <w:p w:rsidR="0055781D" w:rsidRDefault="0055781D" w:rsidP="0055781D">
      <w:r>
        <w:t xml:space="preserve">Na diagnostice a léčbě KRK se podílí lékaři různých odborností – ve screeningu jsou to praktičtí lékaři, gynekologové a gastroenterologové, u léčby onkologové, chirurgové či radioterapeuti. Jejich správně nastavená spolupráce </w:t>
      </w:r>
      <w:r w:rsidR="004A3780">
        <w:t xml:space="preserve">zajistí </w:t>
      </w:r>
      <w:r>
        <w:t xml:space="preserve">maximální profit pacienta. Léčba nádorových onemocnění, zejména těch pokročilých, je v ČR soustředěna do 13 komplexních onkologických center, s nimiž by v regionech měla úzce spolupracovat ostatní zdravotnická zařízení. Navzdory tomu existují i v péči o pacienty značné rezervy. Pozdní diagnóza KRK je výsledkem nejen malé informovanosti široké veřejnosti, ale například i nedostatečné aktivity sítě primární péče; stále existují velké regionální rozdíly v pokrytí cílové populace </w:t>
      </w:r>
      <w:proofErr w:type="spellStart"/>
      <w:r>
        <w:t>screeningem</w:t>
      </w:r>
      <w:proofErr w:type="spellEnd"/>
      <w:r>
        <w:t>. Stejný jev pozorujeme i v dostupnosti léčby</w:t>
      </w:r>
      <w:r w:rsidR="004A3780">
        <w:t xml:space="preserve">, velký podíl </w:t>
      </w:r>
      <w:r>
        <w:t xml:space="preserve">pacientů v pokročilém stadiu nemoci se nedostane ke specializované léčbě v síti komplexních onkologických center – ať již takto měříme péči chirurgickou nebo </w:t>
      </w:r>
      <w:r w:rsidR="004A3780">
        <w:t xml:space="preserve">například </w:t>
      </w:r>
      <w:r>
        <w:t>léčbu inovativními léky. Dostupná data dále upozorňují na velkou migraci pacientů mezi jednotlivými zdravotnickými zařízeními, a to i v průběhu léčby. Platba za péči však obecně s pacientem nemigruje, což značně ztěžuje pozici specializovaných center, která jsou migrací zvláště zatížena. Jen pozvolna se tak daří naplňovat motto Národního onkologického programu „</w:t>
      </w:r>
      <w:r w:rsidRPr="00D914DA">
        <w:t>Správná léčba správnému pacientovi ve správný čas a na správném místě</w:t>
      </w:r>
      <w:r>
        <w:t>“, který byl přijat Českou onkologickou společností ČLS JEP již v roce 2003 a byl aktualizován v roce 2013.</w:t>
      </w:r>
    </w:p>
    <w:p w:rsidR="002548FF" w:rsidRDefault="002548FF" w:rsidP="002548FF">
      <w:pPr>
        <w:pStyle w:val="Heading2"/>
      </w:pPr>
      <w:r>
        <w:t>Vše začíná primární prevencí</w:t>
      </w:r>
    </w:p>
    <w:p w:rsidR="0059388A" w:rsidRDefault="008A15A1">
      <w:r>
        <w:t xml:space="preserve">Rizikové faktory pro vznik nádorových onemocnění včetně KRK jsou obecně známé. Vedle faktorů, které lze </w:t>
      </w:r>
      <w:r w:rsidR="001407C3">
        <w:t xml:space="preserve">individuálně </w:t>
      </w:r>
      <w:r w:rsidR="004A3780">
        <w:t xml:space="preserve">obtížně </w:t>
      </w:r>
      <w:r>
        <w:t>ovlivnit (genetické predispozice, znečištění životního prostředí), se jedná zejména o kouření, nadměrnou spotřebu masa, uzenin a alkoholu, nedostatek pohybu a další typické rysy tzv. „západního“ stylu života. I proto pozorujeme nejvyšší incidenci KRK právě ve státech Evropy a Severní Ameriky.</w:t>
      </w:r>
      <w:r w:rsidR="00043954">
        <w:t xml:space="preserve"> Srovnání jednotlivých zemí z hlediska zdravotního stavu populace</w:t>
      </w:r>
      <w:r w:rsidR="000F7F1D">
        <w:t xml:space="preserve"> a zdravotnických systémů provádí pravidelně organizace OECD v publikaci </w:t>
      </w:r>
      <w:r w:rsidR="001407C3">
        <w:t>„</w:t>
      </w:r>
      <w:proofErr w:type="spellStart"/>
      <w:r w:rsidR="000F7F1D">
        <w:t>Health</w:t>
      </w:r>
      <w:proofErr w:type="spellEnd"/>
      <w:r w:rsidR="000F7F1D">
        <w:t xml:space="preserve"> </w:t>
      </w:r>
      <w:proofErr w:type="spellStart"/>
      <w:r w:rsidR="000F7F1D">
        <w:t>at</w:t>
      </w:r>
      <w:proofErr w:type="spellEnd"/>
      <w:r w:rsidR="000F7F1D">
        <w:t xml:space="preserve"> a Glance</w:t>
      </w:r>
      <w:r w:rsidR="001407C3">
        <w:t>“</w:t>
      </w:r>
      <w:r w:rsidR="000F7F1D">
        <w:t xml:space="preserve">. </w:t>
      </w:r>
      <w:r w:rsidR="008F22D3" w:rsidRPr="008F22D3">
        <w:t>Česká republika nevychází z mezinárodních statistik nijak optimisticky</w:t>
      </w:r>
      <w:r w:rsidR="00A7155B">
        <w:t xml:space="preserve"> –</w:t>
      </w:r>
      <w:r w:rsidR="008F22D3" w:rsidRPr="008F22D3">
        <w:t xml:space="preserve"> vykazujeme jednu z nejvyšších spotřeb alkoholu na jednoho obyvatele v zemích OECD, významně narůstá prevalence </w:t>
      </w:r>
      <w:r w:rsidR="009027E2" w:rsidRPr="008F22D3">
        <w:t>obezity</w:t>
      </w:r>
      <w:r w:rsidR="009027E2">
        <w:t xml:space="preserve"> </w:t>
      </w:r>
      <w:r w:rsidR="009027E2" w:rsidRPr="008F22D3">
        <w:t xml:space="preserve">a </w:t>
      </w:r>
      <w:r w:rsidR="0055781D">
        <w:t>oproti ostatním evropským zemím dochází k minimálnímu snížení počtu kuřáků</w:t>
      </w:r>
      <w:r w:rsidR="008F22D3" w:rsidRPr="008F22D3">
        <w:t>. Podpora primární prevence ze strany zákonodárců, vládních institucí i samotného vedení zdravotnictví je nedostatečná a neodpovídá stavu populace</w:t>
      </w:r>
      <w:r w:rsidR="0059388A">
        <w:t>;</w:t>
      </w:r>
      <w:r w:rsidR="008F22D3" w:rsidRPr="008F22D3">
        <w:t xml:space="preserve"> např. v kolonkách mezinárodních průzkumů</w:t>
      </w:r>
      <w:r w:rsidR="00A7155B">
        <w:t xml:space="preserve"> o</w:t>
      </w:r>
      <w:r w:rsidR="008F22D3" w:rsidRPr="008F22D3">
        <w:t xml:space="preserve"> </w:t>
      </w:r>
      <w:r w:rsidR="008F22D3">
        <w:t>opatření</w:t>
      </w:r>
      <w:r w:rsidR="00A7155B">
        <w:t>ch</w:t>
      </w:r>
      <w:r w:rsidR="008F22D3">
        <w:t xml:space="preserve"> proti kouření</w:t>
      </w:r>
      <w:r w:rsidR="008F22D3" w:rsidRPr="008F22D3">
        <w:t xml:space="preserve"> fakticky nemáme co vyplnit, a tedy v nich ani nefigurujeme. </w:t>
      </w:r>
      <w:r w:rsidR="0059388A">
        <w:t>Podobné závěry přináší i další publikace OECD nazvaná Cancer Care</w:t>
      </w:r>
      <w:r w:rsidR="005D7FE8">
        <w:t xml:space="preserve"> (2013)</w:t>
      </w:r>
      <w:r w:rsidR="0059388A">
        <w:t>, resp. česká tisková zpráva k jejímu vydání.</w:t>
      </w:r>
    </w:p>
    <w:p w:rsidR="002548FF" w:rsidRDefault="008F22D3">
      <w:r w:rsidRPr="008F22D3">
        <w:t>V kontextu těchto skutečností lze u české populace, která nadto demograficky významně stárne, očekávat další nárůst počtu onkologicky nemocných pacientů se všemi společenskými i finančními důsledky.</w:t>
      </w:r>
    </w:p>
    <w:p w:rsidR="00723175" w:rsidRDefault="00723175" w:rsidP="007E433D">
      <w:pPr>
        <w:pStyle w:val="Heading2"/>
      </w:pPr>
    </w:p>
    <w:p w:rsidR="00A96B33" w:rsidRDefault="00A96B33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7E433D" w:rsidRDefault="007E433D" w:rsidP="007E433D">
      <w:pPr>
        <w:pStyle w:val="Heading2"/>
      </w:pPr>
      <w:r>
        <w:lastRenderedPageBreak/>
        <w:t xml:space="preserve">Informační zdroje o </w:t>
      </w:r>
      <w:r w:rsidR="00723175">
        <w:t xml:space="preserve">kolorektálním karcinomu </w:t>
      </w:r>
    </w:p>
    <w:p w:rsidR="007E433D" w:rsidRDefault="007C00C2" w:rsidP="007E433D">
      <w:pPr>
        <w:pStyle w:val="ListParagraph"/>
        <w:numPr>
          <w:ilvl w:val="0"/>
          <w:numId w:val="2"/>
        </w:numPr>
      </w:pPr>
      <w:hyperlink r:id="rId19" w:history="1">
        <w:r w:rsidR="007E433D" w:rsidRPr="00E64FB4">
          <w:rPr>
            <w:rStyle w:val="Hyperlink"/>
          </w:rPr>
          <w:t>www.kolorektum.cz</w:t>
        </w:r>
      </w:hyperlink>
      <w:r w:rsidR="007E433D">
        <w:t xml:space="preserve"> –</w:t>
      </w:r>
      <w:r w:rsidR="00437F8C">
        <w:t xml:space="preserve"> </w:t>
      </w:r>
      <w:r w:rsidR="007E433D" w:rsidRPr="007E433D">
        <w:t>Program kolorektálního screeningu v</w:t>
      </w:r>
      <w:r w:rsidR="007E433D">
        <w:t> </w:t>
      </w:r>
      <w:r w:rsidR="007E433D" w:rsidRPr="007E433D">
        <w:t>ČR</w:t>
      </w:r>
    </w:p>
    <w:p w:rsidR="007E433D" w:rsidRDefault="007C00C2" w:rsidP="007E433D">
      <w:pPr>
        <w:pStyle w:val="ListParagraph"/>
        <w:numPr>
          <w:ilvl w:val="0"/>
          <w:numId w:val="2"/>
        </w:numPr>
      </w:pPr>
      <w:hyperlink r:id="rId20" w:history="1">
        <w:r w:rsidR="007E433D" w:rsidRPr="00E64FB4">
          <w:rPr>
            <w:rStyle w:val="Hyperlink"/>
          </w:rPr>
          <w:t>www.onconet.cz</w:t>
        </w:r>
      </w:hyperlink>
      <w:r w:rsidR="007E433D">
        <w:t xml:space="preserve"> – Národní onkologick</w:t>
      </w:r>
      <w:r w:rsidR="00437F8C">
        <w:t>ý</w:t>
      </w:r>
      <w:r w:rsidR="007E433D">
        <w:t xml:space="preserve"> program ČR</w:t>
      </w:r>
    </w:p>
    <w:p w:rsidR="007E433D" w:rsidRDefault="007C00C2" w:rsidP="007E433D">
      <w:pPr>
        <w:pStyle w:val="ListParagraph"/>
        <w:numPr>
          <w:ilvl w:val="0"/>
          <w:numId w:val="2"/>
        </w:numPr>
      </w:pPr>
      <w:hyperlink r:id="rId21" w:history="1">
        <w:r w:rsidR="007E433D" w:rsidRPr="00E64FB4">
          <w:rPr>
            <w:rStyle w:val="Hyperlink"/>
          </w:rPr>
          <w:t>www.linkos.cz</w:t>
        </w:r>
      </w:hyperlink>
      <w:r w:rsidR="007E433D">
        <w:t xml:space="preserve"> – Česk</w:t>
      </w:r>
      <w:r w:rsidR="00437F8C">
        <w:t>á</w:t>
      </w:r>
      <w:r w:rsidR="007E433D">
        <w:t xml:space="preserve"> onkologick</w:t>
      </w:r>
      <w:r w:rsidR="00437F8C">
        <w:t>á</w:t>
      </w:r>
      <w:r w:rsidR="007E433D">
        <w:t xml:space="preserve"> společnost ČLS JEP</w:t>
      </w:r>
    </w:p>
    <w:p w:rsidR="007E433D" w:rsidRDefault="007C00C2" w:rsidP="007E433D">
      <w:pPr>
        <w:pStyle w:val="ListParagraph"/>
        <w:numPr>
          <w:ilvl w:val="0"/>
          <w:numId w:val="2"/>
        </w:numPr>
      </w:pPr>
      <w:hyperlink r:id="rId22" w:history="1">
        <w:r w:rsidR="007E433D" w:rsidRPr="00E64FB4">
          <w:rPr>
            <w:rStyle w:val="Hyperlink"/>
          </w:rPr>
          <w:t>www.svod.cz</w:t>
        </w:r>
      </w:hyperlink>
      <w:r w:rsidR="007E433D">
        <w:t xml:space="preserve"> – epidemiologie zhoubných nádorů v ČR online</w:t>
      </w:r>
    </w:p>
    <w:p w:rsidR="007E433D" w:rsidRDefault="007E433D" w:rsidP="007E433D">
      <w:pPr>
        <w:pStyle w:val="ListParagraph"/>
        <w:numPr>
          <w:ilvl w:val="0"/>
          <w:numId w:val="2"/>
        </w:numPr>
      </w:pPr>
      <w:r>
        <w:t xml:space="preserve">Ladislav Dušek a kol. Epidemiologie, prevence a léčba kolorektálního karcinomu dle dostupných českých a mezinárodních dat. Praha: Fakultní nemocnice v Motole, 2012. 204 s. ISBN 978-80-87347-07-2. Dostupné z WWW: </w:t>
      </w:r>
      <w:hyperlink r:id="rId23" w:history="1">
        <w:r w:rsidRPr="00E64FB4">
          <w:rPr>
            <w:rStyle w:val="Hyperlink"/>
          </w:rPr>
          <w:t>http://www.rektum.cz/res/file/edukacni-materialy/dusek-epidemiologie-prevence-a-lecba-crc-optim.pdf</w:t>
        </w:r>
      </w:hyperlink>
    </w:p>
    <w:p w:rsidR="00F07819" w:rsidRDefault="00646783" w:rsidP="004A781D">
      <w:pPr>
        <w:pStyle w:val="Heading2"/>
      </w:pPr>
      <w:r>
        <w:t>Literatura</w:t>
      </w:r>
    </w:p>
    <w:p w:rsidR="00646783" w:rsidRPr="00723175" w:rsidRDefault="00646783" w:rsidP="00646783">
      <w:pPr>
        <w:rPr>
          <w:sz w:val="20"/>
          <w:szCs w:val="20"/>
        </w:rPr>
      </w:pPr>
      <w:r w:rsidRPr="00723175">
        <w:rPr>
          <w:sz w:val="20"/>
          <w:szCs w:val="20"/>
        </w:rPr>
        <w:t xml:space="preserve">De </w:t>
      </w:r>
      <w:proofErr w:type="spellStart"/>
      <w:r w:rsidRPr="00723175">
        <w:rPr>
          <w:sz w:val="20"/>
          <w:szCs w:val="20"/>
        </w:rPr>
        <w:t>Angelis</w:t>
      </w:r>
      <w:proofErr w:type="spellEnd"/>
      <w:r w:rsidRPr="00723175">
        <w:rPr>
          <w:sz w:val="20"/>
          <w:szCs w:val="20"/>
        </w:rPr>
        <w:t xml:space="preserve"> R, </w:t>
      </w:r>
      <w:proofErr w:type="spellStart"/>
      <w:r w:rsidRPr="00723175">
        <w:rPr>
          <w:sz w:val="20"/>
          <w:szCs w:val="20"/>
        </w:rPr>
        <w:t>Sant</w:t>
      </w:r>
      <w:proofErr w:type="spellEnd"/>
      <w:r w:rsidRPr="00723175">
        <w:rPr>
          <w:sz w:val="20"/>
          <w:szCs w:val="20"/>
        </w:rPr>
        <w:t xml:space="preserve"> M, </w:t>
      </w:r>
      <w:proofErr w:type="spellStart"/>
      <w:r w:rsidRPr="00723175">
        <w:rPr>
          <w:sz w:val="20"/>
          <w:szCs w:val="20"/>
        </w:rPr>
        <w:t>Coleman</w:t>
      </w:r>
      <w:proofErr w:type="spellEnd"/>
      <w:r w:rsidRPr="00723175">
        <w:rPr>
          <w:sz w:val="20"/>
          <w:szCs w:val="20"/>
        </w:rPr>
        <w:t xml:space="preserve"> MP, </w:t>
      </w:r>
      <w:proofErr w:type="spellStart"/>
      <w:r w:rsidRPr="00723175">
        <w:rPr>
          <w:sz w:val="20"/>
          <w:szCs w:val="20"/>
        </w:rPr>
        <w:t>Francisci</w:t>
      </w:r>
      <w:proofErr w:type="spellEnd"/>
      <w:r w:rsidRPr="00723175">
        <w:rPr>
          <w:sz w:val="20"/>
          <w:szCs w:val="20"/>
        </w:rPr>
        <w:t xml:space="preserve"> S, </w:t>
      </w:r>
      <w:proofErr w:type="spellStart"/>
      <w:r w:rsidRPr="00723175">
        <w:rPr>
          <w:sz w:val="20"/>
          <w:szCs w:val="20"/>
        </w:rPr>
        <w:t>Baili</w:t>
      </w:r>
      <w:proofErr w:type="spellEnd"/>
      <w:r w:rsidRPr="00723175">
        <w:rPr>
          <w:sz w:val="20"/>
          <w:szCs w:val="20"/>
        </w:rPr>
        <w:t xml:space="preserve"> P, </w:t>
      </w:r>
      <w:proofErr w:type="spellStart"/>
      <w:r w:rsidRPr="00723175">
        <w:rPr>
          <w:sz w:val="20"/>
          <w:szCs w:val="20"/>
        </w:rPr>
        <w:t>Pierannunzio</w:t>
      </w:r>
      <w:proofErr w:type="spellEnd"/>
      <w:r w:rsidRPr="00723175">
        <w:rPr>
          <w:sz w:val="20"/>
          <w:szCs w:val="20"/>
        </w:rPr>
        <w:t xml:space="preserve"> D, Trama A, </w:t>
      </w:r>
      <w:proofErr w:type="spellStart"/>
      <w:r w:rsidRPr="00723175">
        <w:rPr>
          <w:sz w:val="20"/>
          <w:szCs w:val="20"/>
        </w:rPr>
        <w:t>Visser</w:t>
      </w:r>
      <w:proofErr w:type="spellEnd"/>
      <w:r w:rsidRPr="00723175">
        <w:rPr>
          <w:sz w:val="20"/>
          <w:szCs w:val="20"/>
        </w:rPr>
        <w:t xml:space="preserve"> O, </w:t>
      </w:r>
      <w:proofErr w:type="spellStart"/>
      <w:r w:rsidRPr="00723175">
        <w:rPr>
          <w:sz w:val="20"/>
          <w:szCs w:val="20"/>
        </w:rPr>
        <w:t>Brenner</w:t>
      </w:r>
      <w:proofErr w:type="spellEnd"/>
      <w:r w:rsidRPr="00723175">
        <w:rPr>
          <w:sz w:val="20"/>
          <w:szCs w:val="20"/>
        </w:rPr>
        <w:t xml:space="preserve"> H, </w:t>
      </w:r>
      <w:proofErr w:type="spellStart"/>
      <w:r w:rsidRPr="00723175">
        <w:rPr>
          <w:sz w:val="20"/>
          <w:szCs w:val="20"/>
        </w:rPr>
        <w:t>Ardanaz</w:t>
      </w:r>
      <w:proofErr w:type="spellEnd"/>
      <w:r w:rsidRPr="00723175">
        <w:rPr>
          <w:sz w:val="20"/>
          <w:szCs w:val="20"/>
        </w:rPr>
        <w:t xml:space="preserve"> E, </w:t>
      </w:r>
      <w:proofErr w:type="spellStart"/>
      <w:r w:rsidRPr="00723175">
        <w:rPr>
          <w:sz w:val="20"/>
          <w:szCs w:val="20"/>
        </w:rPr>
        <w:t>Bielska-Lasota</w:t>
      </w:r>
      <w:proofErr w:type="spellEnd"/>
      <w:r w:rsidRPr="00723175">
        <w:rPr>
          <w:sz w:val="20"/>
          <w:szCs w:val="20"/>
        </w:rPr>
        <w:t xml:space="preserve"> M, </w:t>
      </w:r>
      <w:proofErr w:type="spellStart"/>
      <w:r w:rsidRPr="00723175">
        <w:rPr>
          <w:sz w:val="20"/>
          <w:szCs w:val="20"/>
        </w:rPr>
        <w:t>Engholm</w:t>
      </w:r>
      <w:proofErr w:type="spellEnd"/>
      <w:r w:rsidRPr="00723175">
        <w:rPr>
          <w:sz w:val="20"/>
          <w:szCs w:val="20"/>
        </w:rPr>
        <w:t xml:space="preserve"> G, </w:t>
      </w:r>
      <w:proofErr w:type="spellStart"/>
      <w:r w:rsidRPr="00723175">
        <w:rPr>
          <w:sz w:val="20"/>
          <w:szCs w:val="20"/>
        </w:rPr>
        <w:t>Nennecke</w:t>
      </w:r>
      <w:proofErr w:type="spellEnd"/>
      <w:r w:rsidRPr="00723175">
        <w:rPr>
          <w:sz w:val="20"/>
          <w:szCs w:val="20"/>
        </w:rPr>
        <w:t xml:space="preserve"> A, </w:t>
      </w:r>
      <w:proofErr w:type="spellStart"/>
      <w:r w:rsidRPr="00723175">
        <w:rPr>
          <w:sz w:val="20"/>
          <w:szCs w:val="20"/>
        </w:rPr>
        <w:t>Siesling</w:t>
      </w:r>
      <w:proofErr w:type="spellEnd"/>
      <w:r w:rsidRPr="00723175">
        <w:rPr>
          <w:sz w:val="20"/>
          <w:szCs w:val="20"/>
        </w:rPr>
        <w:t xml:space="preserve"> S, </w:t>
      </w:r>
      <w:proofErr w:type="spellStart"/>
      <w:r w:rsidRPr="00723175">
        <w:rPr>
          <w:sz w:val="20"/>
          <w:szCs w:val="20"/>
        </w:rPr>
        <w:t>Berrino</w:t>
      </w:r>
      <w:proofErr w:type="spellEnd"/>
      <w:r w:rsidRPr="00723175">
        <w:rPr>
          <w:sz w:val="20"/>
          <w:szCs w:val="20"/>
        </w:rPr>
        <w:t xml:space="preserve"> F, </w:t>
      </w:r>
      <w:proofErr w:type="spellStart"/>
      <w:r w:rsidRPr="00723175">
        <w:rPr>
          <w:sz w:val="20"/>
          <w:szCs w:val="20"/>
        </w:rPr>
        <w:t>Capocaccia</w:t>
      </w:r>
      <w:proofErr w:type="spellEnd"/>
      <w:r w:rsidRPr="00723175">
        <w:rPr>
          <w:sz w:val="20"/>
          <w:szCs w:val="20"/>
        </w:rPr>
        <w:t xml:space="preserve"> R; EUROCARE-5 </w:t>
      </w:r>
      <w:proofErr w:type="spellStart"/>
      <w:r w:rsidRPr="00723175">
        <w:rPr>
          <w:sz w:val="20"/>
          <w:szCs w:val="20"/>
        </w:rPr>
        <w:t>Working</w:t>
      </w:r>
      <w:proofErr w:type="spellEnd"/>
      <w:r w:rsidRPr="00723175">
        <w:rPr>
          <w:sz w:val="20"/>
          <w:szCs w:val="20"/>
        </w:rPr>
        <w:t xml:space="preserve"> Group. Cancer </w:t>
      </w:r>
      <w:proofErr w:type="spellStart"/>
      <w:r w:rsidRPr="00723175">
        <w:rPr>
          <w:sz w:val="20"/>
          <w:szCs w:val="20"/>
        </w:rPr>
        <w:t>survival</w:t>
      </w:r>
      <w:proofErr w:type="spellEnd"/>
      <w:r w:rsidRPr="00723175">
        <w:rPr>
          <w:sz w:val="20"/>
          <w:szCs w:val="20"/>
        </w:rPr>
        <w:t xml:space="preserve"> in </w:t>
      </w:r>
      <w:proofErr w:type="spellStart"/>
      <w:r w:rsidRPr="00723175">
        <w:rPr>
          <w:sz w:val="20"/>
          <w:szCs w:val="20"/>
        </w:rPr>
        <w:t>Europe</w:t>
      </w:r>
      <w:proofErr w:type="spellEnd"/>
      <w:r w:rsidRPr="00723175">
        <w:rPr>
          <w:sz w:val="20"/>
          <w:szCs w:val="20"/>
        </w:rPr>
        <w:t xml:space="preserve"> 1999-2007 by country and </w:t>
      </w:r>
      <w:proofErr w:type="spellStart"/>
      <w:r w:rsidRPr="00723175">
        <w:rPr>
          <w:sz w:val="20"/>
          <w:szCs w:val="20"/>
        </w:rPr>
        <w:t>age</w:t>
      </w:r>
      <w:proofErr w:type="spellEnd"/>
      <w:r w:rsidRPr="00723175">
        <w:rPr>
          <w:sz w:val="20"/>
          <w:szCs w:val="20"/>
        </w:rPr>
        <w:t xml:space="preserve">: </w:t>
      </w:r>
      <w:proofErr w:type="spellStart"/>
      <w:r w:rsidRPr="00723175">
        <w:rPr>
          <w:sz w:val="20"/>
          <w:szCs w:val="20"/>
        </w:rPr>
        <w:t>results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of</w:t>
      </w:r>
      <w:proofErr w:type="spellEnd"/>
      <w:r w:rsidRPr="00723175">
        <w:rPr>
          <w:sz w:val="20"/>
          <w:szCs w:val="20"/>
        </w:rPr>
        <w:t xml:space="preserve"> EUROCARE-5-a </w:t>
      </w:r>
      <w:proofErr w:type="spellStart"/>
      <w:r w:rsidRPr="00723175">
        <w:rPr>
          <w:sz w:val="20"/>
          <w:szCs w:val="20"/>
        </w:rPr>
        <w:t>population-based</w:t>
      </w:r>
      <w:proofErr w:type="spellEnd"/>
      <w:r w:rsidRPr="00723175">
        <w:rPr>
          <w:sz w:val="20"/>
          <w:szCs w:val="20"/>
        </w:rPr>
        <w:t xml:space="preserve"> study. Lancet </w:t>
      </w:r>
      <w:proofErr w:type="spellStart"/>
      <w:r w:rsidRPr="00723175">
        <w:rPr>
          <w:sz w:val="20"/>
          <w:szCs w:val="20"/>
        </w:rPr>
        <w:t>Oncol</w:t>
      </w:r>
      <w:proofErr w:type="spellEnd"/>
      <w:r w:rsidRPr="00723175">
        <w:rPr>
          <w:sz w:val="20"/>
          <w:szCs w:val="20"/>
        </w:rPr>
        <w:t xml:space="preserve"> 2014; 15(1): 23–34. DOI: 10.1016/S1470-2045(13)70546-1</w:t>
      </w:r>
    </w:p>
    <w:p w:rsidR="007824EF" w:rsidRDefault="007824EF" w:rsidP="00646783">
      <w:pPr>
        <w:rPr>
          <w:sz w:val="20"/>
          <w:szCs w:val="20"/>
        </w:rPr>
      </w:pPr>
      <w:proofErr w:type="spellStart"/>
      <w:r w:rsidRPr="00723175">
        <w:rPr>
          <w:sz w:val="20"/>
          <w:szCs w:val="20"/>
        </w:rPr>
        <w:t>Ferlay</w:t>
      </w:r>
      <w:proofErr w:type="spellEnd"/>
      <w:r w:rsidRPr="00723175">
        <w:rPr>
          <w:sz w:val="20"/>
          <w:szCs w:val="20"/>
        </w:rPr>
        <w:t xml:space="preserve"> J, </w:t>
      </w:r>
      <w:proofErr w:type="spellStart"/>
      <w:r w:rsidRPr="00723175">
        <w:rPr>
          <w:sz w:val="20"/>
          <w:szCs w:val="20"/>
        </w:rPr>
        <w:t>Soerjomataram</w:t>
      </w:r>
      <w:proofErr w:type="spellEnd"/>
      <w:r w:rsidRPr="00723175">
        <w:rPr>
          <w:sz w:val="20"/>
          <w:szCs w:val="20"/>
        </w:rPr>
        <w:t xml:space="preserve"> I, </w:t>
      </w:r>
      <w:proofErr w:type="spellStart"/>
      <w:r w:rsidRPr="00723175">
        <w:rPr>
          <w:sz w:val="20"/>
          <w:szCs w:val="20"/>
        </w:rPr>
        <w:t>Ervik</w:t>
      </w:r>
      <w:proofErr w:type="spellEnd"/>
      <w:r w:rsidRPr="00723175">
        <w:rPr>
          <w:sz w:val="20"/>
          <w:szCs w:val="20"/>
        </w:rPr>
        <w:t xml:space="preserve"> M, </w:t>
      </w:r>
      <w:proofErr w:type="spellStart"/>
      <w:r w:rsidRPr="00723175">
        <w:rPr>
          <w:sz w:val="20"/>
          <w:szCs w:val="20"/>
        </w:rPr>
        <w:t>Dikshit</w:t>
      </w:r>
      <w:proofErr w:type="spellEnd"/>
      <w:r w:rsidRPr="00723175">
        <w:rPr>
          <w:sz w:val="20"/>
          <w:szCs w:val="20"/>
        </w:rPr>
        <w:t xml:space="preserve"> R, Eser S, </w:t>
      </w:r>
      <w:proofErr w:type="spellStart"/>
      <w:r w:rsidRPr="00723175">
        <w:rPr>
          <w:sz w:val="20"/>
          <w:szCs w:val="20"/>
        </w:rPr>
        <w:t>Mathers</w:t>
      </w:r>
      <w:proofErr w:type="spellEnd"/>
      <w:r w:rsidRPr="00723175">
        <w:rPr>
          <w:sz w:val="20"/>
          <w:szCs w:val="20"/>
        </w:rPr>
        <w:t xml:space="preserve"> C, </w:t>
      </w:r>
      <w:proofErr w:type="spellStart"/>
      <w:r w:rsidRPr="00723175">
        <w:rPr>
          <w:sz w:val="20"/>
          <w:szCs w:val="20"/>
        </w:rPr>
        <w:t>Rebelo</w:t>
      </w:r>
      <w:proofErr w:type="spellEnd"/>
      <w:r w:rsidRPr="00723175">
        <w:rPr>
          <w:sz w:val="20"/>
          <w:szCs w:val="20"/>
        </w:rPr>
        <w:t xml:space="preserve"> M, </w:t>
      </w:r>
      <w:proofErr w:type="spellStart"/>
      <w:r w:rsidRPr="00723175">
        <w:rPr>
          <w:sz w:val="20"/>
          <w:szCs w:val="20"/>
        </w:rPr>
        <w:t>Parkin</w:t>
      </w:r>
      <w:proofErr w:type="spellEnd"/>
      <w:r w:rsidRPr="00723175">
        <w:rPr>
          <w:sz w:val="20"/>
          <w:szCs w:val="20"/>
        </w:rPr>
        <w:t xml:space="preserve"> DM, Forman D, </w:t>
      </w:r>
      <w:proofErr w:type="spellStart"/>
      <w:r w:rsidRPr="00723175">
        <w:rPr>
          <w:sz w:val="20"/>
          <w:szCs w:val="20"/>
        </w:rPr>
        <w:t>Bray</w:t>
      </w:r>
      <w:proofErr w:type="spellEnd"/>
      <w:r w:rsidRPr="00723175">
        <w:rPr>
          <w:sz w:val="20"/>
          <w:szCs w:val="20"/>
        </w:rPr>
        <w:t xml:space="preserve">, F.GLOBOCAN 2012 v1.0, Cancer Incidence and Mortality </w:t>
      </w:r>
      <w:proofErr w:type="spellStart"/>
      <w:r w:rsidRPr="00723175">
        <w:rPr>
          <w:sz w:val="20"/>
          <w:szCs w:val="20"/>
        </w:rPr>
        <w:t>Worldwide</w:t>
      </w:r>
      <w:proofErr w:type="spellEnd"/>
      <w:r w:rsidRPr="00723175">
        <w:rPr>
          <w:sz w:val="20"/>
          <w:szCs w:val="20"/>
        </w:rPr>
        <w:t xml:space="preserve">: IARC </w:t>
      </w:r>
      <w:proofErr w:type="spellStart"/>
      <w:r w:rsidRPr="00723175">
        <w:rPr>
          <w:sz w:val="20"/>
          <w:szCs w:val="20"/>
        </w:rPr>
        <w:t>CancerBase</w:t>
      </w:r>
      <w:proofErr w:type="spellEnd"/>
      <w:r w:rsidRPr="00723175">
        <w:rPr>
          <w:sz w:val="20"/>
          <w:szCs w:val="20"/>
        </w:rPr>
        <w:t xml:space="preserve"> No. 11 [Internet]. Lyon, France: International </w:t>
      </w:r>
      <w:proofErr w:type="spellStart"/>
      <w:r w:rsidRPr="00723175">
        <w:rPr>
          <w:sz w:val="20"/>
          <w:szCs w:val="20"/>
        </w:rPr>
        <w:t>Agency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for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Research</w:t>
      </w:r>
      <w:proofErr w:type="spellEnd"/>
      <w:r w:rsidRPr="00723175">
        <w:rPr>
          <w:sz w:val="20"/>
          <w:szCs w:val="20"/>
        </w:rPr>
        <w:t xml:space="preserve"> on Cancer; 2013. </w:t>
      </w:r>
      <w:proofErr w:type="spellStart"/>
      <w:r w:rsidRPr="00723175">
        <w:rPr>
          <w:sz w:val="20"/>
          <w:szCs w:val="20"/>
        </w:rPr>
        <w:t>Available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from</w:t>
      </w:r>
      <w:proofErr w:type="spellEnd"/>
      <w:r w:rsidRPr="00723175">
        <w:rPr>
          <w:sz w:val="20"/>
          <w:szCs w:val="20"/>
        </w:rPr>
        <w:t xml:space="preserve">: </w:t>
      </w:r>
      <w:hyperlink r:id="rId24" w:history="1">
        <w:r w:rsidR="00A537E3" w:rsidRPr="008C4C7A">
          <w:rPr>
            <w:rStyle w:val="Hyperlink"/>
            <w:sz w:val="20"/>
            <w:szCs w:val="20"/>
          </w:rPr>
          <w:t>http://globocan.iarc.fr</w:t>
        </w:r>
      </w:hyperlink>
      <w:r w:rsidRPr="00723175">
        <w:rPr>
          <w:sz w:val="20"/>
          <w:szCs w:val="20"/>
        </w:rPr>
        <w:t>.</w:t>
      </w:r>
      <w:r w:rsidR="00A537E3">
        <w:rPr>
          <w:sz w:val="20"/>
          <w:szCs w:val="20"/>
        </w:rPr>
        <w:t xml:space="preserve"> </w:t>
      </w:r>
      <w:proofErr w:type="spellStart"/>
      <w:r w:rsidR="00A537E3">
        <w:rPr>
          <w:sz w:val="20"/>
          <w:szCs w:val="20"/>
        </w:rPr>
        <w:t>A</w:t>
      </w:r>
      <w:r w:rsidR="00A537E3" w:rsidRPr="000A2875">
        <w:rPr>
          <w:sz w:val="20"/>
          <w:szCs w:val="20"/>
        </w:rPr>
        <w:t>ccessed</w:t>
      </w:r>
      <w:proofErr w:type="spellEnd"/>
      <w:r w:rsidR="00A537E3" w:rsidRPr="000A2875">
        <w:rPr>
          <w:sz w:val="20"/>
          <w:szCs w:val="20"/>
        </w:rPr>
        <w:t xml:space="preserve"> on </w:t>
      </w:r>
      <w:r w:rsidR="00A537E3">
        <w:rPr>
          <w:sz w:val="20"/>
          <w:szCs w:val="20"/>
        </w:rPr>
        <w:t>14</w:t>
      </w:r>
      <w:r w:rsidR="00A537E3" w:rsidRPr="000A2875">
        <w:rPr>
          <w:sz w:val="20"/>
          <w:szCs w:val="20"/>
        </w:rPr>
        <w:t>/</w:t>
      </w:r>
      <w:r w:rsidR="00A537E3">
        <w:rPr>
          <w:sz w:val="20"/>
          <w:szCs w:val="20"/>
        </w:rPr>
        <w:t>05</w:t>
      </w:r>
      <w:r w:rsidR="00A537E3" w:rsidRPr="000A2875">
        <w:rPr>
          <w:sz w:val="20"/>
          <w:szCs w:val="20"/>
        </w:rPr>
        <w:t>/</w:t>
      </w:r>
      <w:r w:rsidR="00A537E3">
        <w:rPr>
          <w:sz w:val="20"/>
          <w:szCs w:val="20"/>
        </w:rPr>
        <w:t>2015</w:t>
      </w:r>
    </w:p>
    <w:p w:rsidR="00CF4EF3" w:rsidRDefault="00CF4EF3" w:rsidP="00CF4EF3">
      <w:pPr>
        <w:rPr>
          <w:sz w:val="20"/>
          <w:szCs w:val="20"/>
        </w:rPr>
      </w:pPr>
      <w:r w:rsidRPr="00723175">
        <w:rPr>
          <w:sz w:val="20"/>
          <w:szCs w:val="20"/>
        </w:rPr>
        <w:t xml:space="preserve">OECD. </w:t>
      </w:r>
      <w:proofErr w:type="spellStart"/>
      <w:r w:rsidRPr="00723175">
        <w:rPr>
          <w:sz w:val="20"/>
          <w:szCs w:val="20"/>
        </w:rPr>
        <w:t>Health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at</w:t>
      </w:r>
      <w:proofErr w:type="spellEnd"/>
      <w:r w:rsidRPr="00723175">
        <w:rPr>
          <w:sz w:val="20"/>
          <w:szCs w:val="20"/>
        </w:rPr>
        <w:t xml:space="preserve"> a Glance:</w:t>
      </w:r>
      <w:r w:rsidR="00A13250">
        <w:rPr>
          <w:sz w:val="20"/>
          <w:szCs w:val="20"/>
        </w:rPr>
        <w:t xml:space="preserve"> </w:t>
      </w:r>
      <w:proofErr w:type="spellStart"/>
      <w:r w:rsidR="00A13250">
        <w:rPr>
          <w:sz w:val="20"/>
          <w:szCs w:val="20"/>
        </w:rPr>
        <w:t>Europe</w:t>
      </w:r>
      <w:proofErr w:type="spellEnd"/>
      <w:r w:rsidR="00A13250">
        <w:rPr>
          <w:sz w:val="20"/>
          <w:szCs w:val="20"/>
        </w:rPr>
        <w:t xml:space="preserve"> 2014</w:t>
      </w:r>
      <w:r w:rsidRPr="00723175">
        <w:rPr>
          <w:sz w:val="20"/>
          <w:szCs w:val="20"/>
        </w:rPr>
        <w:t xml:space="preserve">. OECD </w:t>
      </w:r>
      <w:proofErr w:type="spellStart"/>
      <w:r w:rsidRPr="00723175">
        <w:rPr>
          <w:sz w:val="20"/>
          <w:szCs w:val="20"/>
        </w:rPr>
        <w:t>Publishing</w:t>
      </w:r>
      <w:proofErr w:type="spellEnd"/>
      <w:r w:rsidRPr="00723175">
        <w:rPr>
          <w:sz w:val="20"/>
          <w:szCs w:val="20"/>
        </w:rPr>
        <w:t xml:space="preserve"> 201</w:t>
      </w:r>
      <w:r w:rsidR="00A13250">
        <w:rPr>
          <w:sz w:val="20"/>
          <w:szCs w:val="20"/>
        </w:rPr>
        <w:t>4</w:t>
      </w:r>
      <w:r w:rsidRPr="00723175">
        <w:rPr>
          <w:sz w:val="20"/>
          <w:szCs w:val="20"/>
        </w:rPr>
        <w:t xml:space="preserve">. </w:t>
      </w:r>
      <w:hyperlink r:id="rId25" w:history="1">
        <w:r w:rsidR="00A13250" w:rsidRPr="008C4C7A">
          <w:rPr>
            <w:rStyle w:val="Hyperlink"/>
            <w:sz w:val="20"/>
            <w:szCs w:val="20"/>
          </w:rPr>
          <w:t>http://dx.doi.org/10.1787/health_glance_eur-2014-en</w:t>
        </w:r>
      </w:hyperlink>
    </w:p>
    <w:p w:rsidR="0059388A" w:rsidRDefault="0059388A" w:rsidP="00CF4EF3">
      <w:pPr>
        <w:rPr>
          <w:sz w:val="20"/>
          <w:szCs w:val="20"/>
        </w:rPr>
      </w:pPr>
      <w:r w:rsidRPr="00723175">
        <w:rPr>
          <w:sz w:val="20"/>
          <w:szCs w:val="20"/>
        </w:rPr>
        <w:t xml:space="preserve">OECD. Cancer Care: </w:t>
      </w:r>
      <w:proofErr w:type="spellStart"/>
      <w:r w:rsidRPr="00723175">
        <w:rPr>
          <w:sz w:val="20"/>
          <w:szCs w:val="20"/>
        </w:rPr>
        <w:t>Assuring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Quality</w:t>
      </w:r>
      <w:proofErr w:type="spellEnd"/>
      <w:r w:rsidRPr="00723175">
        <w:rPr>
          <w:sz w:val="20"/>
          <w:szCs w:val="20"/>
        </w:rPr>
        <w:t xml:space="preserve"> to </w:t>
      </w:r>
      <w:proofErr w:type="spellStart"/>
      <w:r w:rsidRPr="00723175">
        <w:rPr>
          <w:sz w:val="20"/>
          <w:szCs w:val="20"/>
        </w:rPr>
        <w:t>Improve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Survival</w:t>
      </w:r>
      <w:proofErr w:type="spellEnd"/>
      <w:r w:rsidRPr="00723175">
        <w:rPr>
          <w:sz w:val="20"/>
          <w:szCs w:val="20"/>
        </w:rPr>
        <w:t xml:space="preserve">. Country </w:t>
      </w:r>
      <w:proofErr w:type="spellStart"/>
      <w:r w:rsidRPr="00723175">
        <w:rPr>
          <w:sz w:val="20"/>
          <w:szCs w:val="20"/>
        </w:rPr>
        <w:t>note</w:t>
      </w:r>
      <w:proofErr w:type="spellEnd"/>
      <w:r w:rsidRPr="00723175">
        <w:rPr>
          <w:sz w:val="20"/>
          <w:szCs w:val="20"/>
        </w:rPr>
        <w:t xml:space="preserve"> – Czech Republic. OECD </w:t>
      </w:r>
      <w:proofErr w:type="spellStart"/>
      <w:r w:rsidRPr="00723175">
        <w:rPr>
          <w:sz w:val="20"/>
          <w:szCs w:val="20"/>
        </w:rPr>
        <w:t>Publishing</w:t>
      </w:r>
      <w:proofErr w:type="spellEnd"/>
      <w:r w:rsidRPr="00723175">
        <w:rPr>
          <w:sz w:val="20"/>
          <w:szCs w:val="20"/>
        </w:rPr>
        <w:t xml:space="preserve">, 2014. </w:t>
      </w:r>
      <w:hyperlink r:id="rId26" w:history="1">
        <w:r w:rsidR="00A13250" w:rsidRPr="008C4C7A">
          <w:rPr>
            <w:rStyle w:val="Hyperlink"/>
            <w:sz w:val="20"/>
            <w:szCs w:val="20"/>
          </w:rPr>
          <w:t>http://www.oecd.org/els/health-systems/Cancer-Care-Czech-Republic-2013.pdf</w:t>
        </w:r>
      </w:hyperlink>
    </w:p>
    <w:p w:rsidR="00934224" w:rsidRPr="00723175" w:rsidRDefault="00646783" w:rsidP="00B23EF9">
      <w:pPr>
        <w:pStyle w:val="NoSpacing"/>
        <w:rPr>
          <w:sz w:val="20"/>
          <w:szCs w:val="20"/>
        </w:rPr>
      </w:pPr>
      <w:r w:rsidRPr="00723175">
        <w:rPr>
          <w:sz w:val="20"/>
          <w:szCs w:val="20"/>
        </w:rPr>
        <w:t xml:space="preserve">Pavlík T, Májek O, Büchler T, Vyzula R, Petera J, Ryska M, Ryška A, Cibula D, Babjuk M, Abrahámová J, Vorlíček J, Mužík J, Dušek L. </w:t>
      </w:r>
      <w:proofErr w:type="spellStart"/>
      <w:r w:rsidRPr="00723175">
        <w:rPr>
          <w:sz w:val="20"/>
          <w:szCs w:val="20"/>
        </w:rPr>
        <w:t>Trends</w:t>
      </w:r>
      <w:proofErr w:type="spellEnd"/>
      <w:r w:rsidRPr="00723175">
        <w:rPr>
          <w:sz w:val="20"/>
          <w:szCs w:val="20"/>
        </w:rPr>
        <w:t xml:space="preserve"> in </w:t>
      </w:r>
      <w:proofErr w:type="spellStart"/>
      <w:r w:rsidRPr="00723175">
        <w:rPr>
          <w:sz w:val="20"/>
          <w:szCs w:val="20"/>
        </w:rPr>
        <w:t>stage-specific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population-based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survival</w:t>
      </w:r>
      <w:proofErr w:type="spellEnd"/>
      <w:r w:rsidRPr="00723175">
        <w:rPr>
          <w:sz w:val="20"/>
          <w:szCs w:val="20"/>
        </w:rPr>
        <w:t xml:space="preserve"> </w:t>
      </w:r>
      <w:proofErr w:type="spellStart"/>
      <w:r w:rsidRPr="00723175">
        <w:rPr>
          <w:sz w:val="20"/>
          <w:szCs w:val="20"/>
        </w:rPr>
        <w:t>of</w:t>
      </w:r>
      <w:proofErr w:type="spellEnd"/>
      <w:r w:rsidRPr="00723175">
        <w:rPr>
          <w:sz w:val="20"/>
          <w:szCs w:val="20"/>
        </w:rPr>
        <w:t xml:space="preserve"> cancer </w:t>
      </w:r>
      <w:proofErr w:type="spellStart"/>
      <w:r w:rsidRPr="00723175">
        <w:rPr>
          <w:sz w:val="20"/>
          <w:szCs w:val="20"/>
        </w:rPr>
        <w:t>patients</w:t>
      </w:r>
      <w:proofErr w:type="spellEnd"/>
      <w:r w:rsidRPr="00723175">
        <w:rPr>
          <w:sz w:val="20"/>
          <w:szCs w:val="20"/>
        </w:rPr>
        <w:t xml:space="preserve"> in </w:t>
      </w:r>
      <w:proofErr w:type="spellStart"/>
      <w:r w:rsidRPr="00723175">
        <w:rPr>
          <w:sz w:val="20"/>
          <w:szCs w:val="20"/>
        </w:rPr>
        <w:t>the</w:t>
      </w:r>
      <w:proofErr w:type="spellEnd"/>
      <w:r w:rsidRPr="00723175">
        <w:rPr>
          <w:sz w:val="20"/>
          <w:szCs w:val="20"/>
        </w:rPr>
        <w:t xml:space="preserve"> Czech Republic in </w:t>
      </w:r>
      <w:proofErr w:type="spellStart"/>
      <w:r w:rsidRPr="00723175">
        <w:rPr>
          <w:sz w:val="20"/>
          <w:szCs w:val="20"/>
        </w:rPr>
        <w:t>the</w:t>
      </w:r>
      <w:proofErr w:type="spellEnd"/>
      <w:r w:rsidRPr="00723175">
        <w:rPr>
          <w:sz w:val="20"/>
          <w:szCs w:val="20"/>
        </w:rPr>
        <w:t xml:space="preserve"> period 2000-2008. Cancer </w:t>
      </w:r>
      <w:proofErr w:type="spellStart"/>
      <w:r w:rsidRPr="00723175">
        <w:rPr>
          <w:sz w:val="20"/>
          <w:szCs w:val="20"/>
        </w:rPr>
        <w:t>Epidemiol</w:t>
      </w:r>
      <w:proofErr w:type="spellEnd"/>
      <w:r w:rsidRPr="00723175">
        <w:rPr>
          <w:sz w:val="20"/>
          <w:szCs w:val="20"/>
        </w:rPr>
        <w:t xml:space="preserve"> 2014; 38(1): 28-34. D</w:t>
      </w:r>
      <w:r w:rsidR="001C6D15" w:rsidRPr="00723175">
        <w:rPr>
          <w:sz w:val="20"/>
          <w:szCs w:val="20"/>
        </w:rPr>
        <w:t>OI: 10.1016/j.canep.2013.11.002</w:t>
      </w:r>
    </w:p>
    <w:p w:rsidR="00267216" w:rsidRPr="00723175" w:rsidRDefault="00267216">
      <w:pPr>
        <w:rPr>
          <w:sz w:val="20"/>
          <w:szCs w:val="20"/>
        </w:rPr>
      </w:pPr>
    </w:p>
    <w:p w:rsidR="00267216" w:rsidRDefault="00267216"/>
    <w:sectPr w:rsidR="00267216" w:rsidSect="00E215E5">
      <w:headerReference w:type="default" r:id="rId2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80" w:rsidRDefault="009C5780" w:rsidP="0026595F">
      <w:pPr>
        <w:spacing w:after="0" w:line="240" w:lineRule="auto"/>
      </w:pPr>
      <w:r>
        <w:separator/>
      </w:r>
    </w:p>
  </w:endnote>
  <w:endnote w:type="continuationSeparator" w:id="0">
    <w:p w:rsidR="009C5780" w:rsidRDefault="009C5780" w:rsidP="0026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80" w:rsidRDefault="009C5780" w:rsidP="0026595F">
      <w:pPr>
        <w:spacing w:after="0" w:line="240" w:lineRule="auto"/>
      </w:pPr>
      <w:r>
        <w:separator/>
      </w:r>
    </w:p>
  </w:footnote>
  <w:footnote w:type="continuationSeparator" w:id="0">
    <w:p w:rsidR="009C5780" w:rsidRDefault="009C5780" w:rsidP="0026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B0" w:rsidRDefault="00CE0AFA" w:rsidP="0026595F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5756910" cy="874395"/>
          <wp:effectExtent l="0" t="0" r="0" b="0"/>
          <wp:docPr id="3" name="Obrázek 3" descr="C:\Jakub\crcprevention.eu\web\def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akub\crcprevention.eu\web\defaul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0BB0" w:rsidRDefault="00C70BB0" w:rsidP="002659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317"/>
    <w:multiLevelType w:val="hybridMultilevel"/>
    <w:tmpl w:val="8468F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843AE"/>
    <w:multiLevelType w:val="hybridMultilevel"/>
    <w:tmpl w:val="683E8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87A97"/>
    <w:multiLevelType w:val="hybridMultilevel"/>
    <w:tmpl w:val="7E749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59"/>
    <w:rsid w:val="00004162"/>
    <w:rsid w:val="00005241"/>
    <w:rsid w:val="000116B4"/>
    <w:rsid w:val="00015D8B"/>
    <w:rsid w:val="00034DC9"/>
    <w:rsid w:val="00043954"/>
    <w:rsid w:val="0007290B"/>
    <w:rsid w:val="00095BC5"/>
    <w:rsid w:val="000A4401"/>
    <w:rsid w:val="000A7C11"/>
    <w:rsid w:val="000B1EB1"/>
    <w:rsid w:val="000C58E2"/>
    <w:rsid w:val="000D3A1A"/>
    <w:rsid w:val="000D447E"/>
    <w:rsid w:val="000E0E6F"/>
    <w:rsid w:val="000E564A"/>
    <w:rsid w:val="000F45F4"/>
    <w:rsid w:val="000F7F1D"/>
    <w:rsid w:val="00114DA1"/>
    <w:rsid w:val="00130C84"/>
    <w:rsid w:val="00137058"/>
    <w:rsid w:val="001407C3"/>
    <w:rsid w:val="00144568"/>
    <w:rsid w:val="001506DE"/>
    <w:rsid w:val="00160468"/>
    <w:rsid w:val="00162168"/>
    <w:rsid w:val="001B3F29"/>
    <w:rsid w:val="001C34CD"/>
    <w:rsid w:val="001C6D15"/>
    <w:rsid w:val="001D4E87"/>
    <w:rsid w:val="00201978"/>
    <w:rsid w:val="002107C2"/>
    <w:rsid w:val="0021281C"/>
    <w:rsid w:val="00231235"/>
    <w:rsid w:val="0023323A"/>
    <w:rsid w:val="002548FF"/>
    <w:rsid w:val="002573D3"/>
    <w:rsid w:val="00264422"/>
    <w:rsid w:val="0026595F"/>
    <w:rsid w:val="00267216"/>
    <w:rsid w:val="002832C1"/>
    <w:rsid w:val="002865C5"/>
    <w:rsid w:val="002A0766"/>
    <w:rsid w:val="002A2C52"/>
    <w:rsid w:val="002A7F08"/>
    <w:rsid w:val="002B298D"/>
    <w:rsid w:val="002F45F0"/>
    <w:rsid w:val="003076D9"/>
    <w:rsid w:val="00310219"/>
    <w:rsid w:val="00315FE9"/>
    <w:rsid w:val="00321FD0"/>
    <w:rsid w:val="0032223F"/>
    <w:rsid w:val="00324B76"/>
    <w:rsid w:val="003404A7"/>
    <w:rsid w:val="00346E97"/>
    <w:rsid w:val="00352DE2"/>
    <w:rsid w:val="00353B6F"/>
    <w:rsid w:val="00355FDF"/>
    <w:rsid w:val="003648EF"/>
    <w:rsid w:val="0036512D"/>
    <w:rsid w:val="00374142"/>
    <w:rsid w:val="003951F7"/>
    <w:rsid w:val="0039610C"/>
    <w:rsid w:val="00397A84"/>
    <w:rsid w:val="003D021B"/>
    <w:rsid w:val="003D3A57"/>
    <w:rsid w:val="003D796F"/>
    <w:rsid w:val="003E1672"/>
    <w:rsid w:val="003E29D8"/>
    <w:rsid w:val="003F2A64"/>
    <w:rsid w:val="003F6904"/>
    <w:rsid w:val="00410AF2"/>
    <w:rsid w:val="0041115A"/>
    <w:rsid w:val="004116A6"/>
    <w:rsid w:val="00437552"/>
    <w:rsid w:val="00437F8C"/>
    <w:rsid w:val="00442571"/>
    <w:rsid w:val="0044596E"/>
    <w:rsid w:val="00445EC0"/>
    <w:rsid w:val="0045569A"/>
    <w:rsid w:val="004559A1"/>
    <w:rsid w:val="0047034A"/>
    <w:rsid w:val="0048292C"/>
    <w:rsid w:val="004A3780"/>
    <w:rsid w:val="004A781D"/>
    <w:rsid w:val="004C50D7"/>
    <w:rsid w:val="004E0FC4"/>
    <w:rsid w:val="004E1B5B"/>
    <w:rsid w:val="004F61A0"/>
    <w:rsid w:val="00522637"/>
    <w:rsid w:val="0054639F"/>
    <w:rsid w:val="00547D7D"/>
    <w:rsid w:val="0055089F"/>
    <w:rsid w:val="005547BD"/>
    <w:rsid w:val="00555BED"/>
    <w:rsid w:val="0055781D"/>
    <w:rsid w:val="0056024D"/>
    <w:rsid w:val="00565867"/>
    <w:rsid w:val="00580AA5"/>
    <w:rsid w:val="005835AD"/>
    <w:rsid w:val="0059388A"/>
    <w:rsid w:val="005958A5"/>
    <w:rsid w:val="005A6C47"/>
    <w:rsid w:val="005C0A39"/>
    <w:rsid w:val="005C6E8A"/>
    <w:rsid w:val="005C7213"/>
    <w:rsid w:val="005D4EF7"/>
    <w:rsid w:val="005D7FE8"/>
    <w:rsid w:val="00604E39"/>
    <w:rsid w:val="00604EB5"/>
    <w:rsid w:val="006138C7"/>
    <w:rsid w:val="006209CA"/>
    <w:rsid w:val="00621F4F"/>
    <w:rsid w:val="00637808"/>
    <w:rsid w:val="0064382C"/>
    <w:rsid w:val="00646783"/>
    <w:rsid w:val="00651D5F"/>
    <w:rsid w:val="00654AAB"/>
    <w:rsid w:val="006E4C2F"/>
    <w:rsid w:val="006F2827"/>
    <w:rsid w:val="00705C75"/>
    <w:rsid w:val="00711622"/>
    <w:rsid w:val="00716E47"/>
    <w:rsid w:val="00720B37"/>
    <w:rsid w:val="00723175"/>
    <w:rsid w:val="00740D74"/>
    <w:rsid w:val="00745F91"/>
    <w:rsid w:val="00752C1A"/>
    <w:rsid w:val="00763509"/>
    <w:rsid w:val="00766744"/>
    <w:rsid w:val="00776438"/>
    <w:rsid w:val="00776513"/>
    <w:rsid w:val="0078194C"/>
    <w:rsid w:val="007824EF"/>
    <w:rsid w:val="00792AAA"/>
    <w:rsid w:val="007964E1"/>
    <w:rsid w:val="007B28A1"/>
    <w:rsid w:val="007B3AAE"/>
    <w:rsid w:val="007B5820"/>
    <w:rsid w:val="007B62EE"/>
    <w:rsid w:val="007C00C2"/>
    <w:rsid w:val="007C0799"/>
    <w:rsid w:val="007D72AD"/>
    <w:rsid w:val="007E433D"/>
    <w:rsid w:val="007E5A65"/>
    <w:rsid w:val="007E7BE6"/>
    <w:rsid w:val="00813E9C"/>
    <w:rsid w:val="00837BD4"/>
    <w:rsid w:val="00844235"/>
    <w:rsid w:val="00845994"/>
    <w:rsid w:val="008463C1"/>
    <w:rsid w:val="00853D5C"/>
    <w:rsid w:val="00890764"/>
    <w:rsid w:val="00896476"/>
    <w:rsid w:val="008A0B8D"/>
    <w:rsid w:val="008A144C"/>
    <w:rsid w:val="008A15A1"/>
    <w:rsid w:val="008A55C2"/>
    <w:rsid w:val="008C043F"/>
    <w:rsid w:val="008F22D3"/>
    <w:rsid w:val="008F253F"/>
    <w:rsid w:val="009027E2"/>
    <w:rsid w:val="00914145"/>
    <w:rsid w:val="009171DB"/>
    <w:rsid w:val="0092767C"/>
    <w:rsid w:val="00934224"/>
    <w:rsid w:val="00965CF3"/>
    <w:rsid w:val="00985A7F"/>
    <w:rsid w:val="00993FD8"/>
    <w:rsid w:val="00996911"/>
    <w:rsid w:val="009A6981"/>
    <w:rsid w:val="009B3BE1"/>
    <w:rsid w:val="009C29F1"/>
    <w:rsid w:val="009C5780"/>
    <w:rsid w:val="009E36C5"/>
    <w:rsid w:val="009E3AF8"/>
    <w:rsid w:val="00A13250"/>
    <w:rsid w:val="00A35E0B"/>
    <w:rsid w:val="00A414D8"/>
    <w:rsid w:val="00A52470"/>
    <w:rsid w:val="00A537E3"/>
    <w:rsid w:val="00A540EA"/>
    <w:rsid w:val="00A604B0"/>
    <w:rsid w:val="00A7155B"/>
    <w:rsid w:val="00A84BA5"/>
    <w:rsid w:val="00A92D60"/>
    <w:rsid w:val="00A96B33"/>
    <w:rsid w:val="00AB50F9"/>
    <w:rsid w:val="00AB6131"/>
    <w:rsid w:val="00AC6643"/>
    <w:rsid w:val="00AF4F60"/>
    <w:rsid w:val="00B17FE3"/>
    <w:rsid w:val="00B23EF9"/>
    <w:rsid w:val="00B2407B"/>
    <w:rsid w:val="00B41FAD"/>
    <w:rsid w:val="00B8710D"/>
    <w:rsid w:val="00B87643"/>
    <w:rsid w:val="00B87EF4"/>
    <w:rsid w:val="00BD1221"/>
    <w:rsid w:val="00BE269B"/>
    <w:rsid w:val="00BF14B2"/>
    <w:rsid w:val="00C15ECC"/>
    <w:rsid w:val="00C26837"/>
    <w:rsid w:val="00C27709"/>
    <w:rsid w:val="00C451F1"/>
    <w:rsid w:val="00C52B4F"/>
    <w:rsid w:val="00C5372E"/>
    <w:rsid w:val="00C605F6"/>
    <w:rsid w:val="00C70BB0"/>
    <w:rsid w:val="00C735A8"/>
    <w:rsid w:val="00C76A35"/>
    <w:rsid w:val="00C770AC"/>
    <w:rsid w:val="00C8177C"/>
    <w:rsid w:val="00C93103"/>
    <w:rsid w:val="00CA0BB8"/>
    <w:rsid w:val="00CA5BBD"/>
    <w:rsid w:val="00CB6A4E"/>
    <w:rsid w:val="00CD6D46"/>
    <w:rsid w:val="00CE0AFA"/>
    <w:rsid w:val="00CF313E"/>
    <w:rsid w:val="00CF4259"/>
    <w:rsid w:val="00CF4EF3"/>
    <w:rsid w:val="00D038EA"/>
    <w:rsid w:val="00D11BF9"/>
    <w:rsid w:val="00D1529E"/>
    <w:rsid w:val="00D15E40"/>
    <w:rsid w:val="00D32839"/>
    <w:rsid w:val="00D3619C"/>
    <w:rsid w:val="00D576EC"/>
    <w:rsid w:val="00D85AD3"/>
    <w:rsid w:val="00D902B9"/>
    <w:rsid w:val="00D914DA"/>
    <w:rsid w:val="00D91CE6"/>
    <w:rsid w:val="00D9357A"/>
    <w:rsid w:val="00DA37FE"/>
    <w:rsid w:val="00DE1B11"/>
    <w:rsid w:val="00E0049E"/>
    <w:rsid w:val="00E215E5"/>
    <w:rsid w:val="00E56B8F"/>
    <w:rsid w:val="00E65D98"/>
    <w:rsid w:val="00EA57C1"/>
    <w:rsid w:val="00EB118B"/>
    <w:rsid w:val="00ED5B57"/>
    <w:rsid w:val="00EF14DE"/>
    <w:rsid w:val="00EF3B5E"/>
    <w:rsid w:val="00EF522E"/>
    <w:rsid w:val="00EF7ADE"/>
    <w:rsid w:val="00F07819"/>
    <w:rsid w:val="00F10EB2"/>
    <w:rsid w:val="00F1310D"/>
    <w:rsid w:val="00F40A48"/>
    <w:rsid w:val="00F43FA0"/>
    <w:rsid w:val="00F5018E"/>
    <w:rsid w:val="00F521C7"/>
    <w:rsid w:val="00F571D1"/>
    <w:rsid w:val="00F6114D"/>
    <w:rsid w:val="00F66DDC"/>
    <w:rsid w:val="00F71FF4"/>
    <w:rsid w:val="00F73F32"/>
    <w:rsid w:val="00F91F46"/>
    <w:rsid w:val="00FA4882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9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BE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82C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5F"/>
  </w:style>
  <w:style w:type="paragraph" w:styleId="Footer">
    <w:name w:val="footer"/>
    <w:basedOn w:val="Normal"/>
    <w:link w:val="FooterChar"/>
    <w:uiPriority w:val="99"/>
    <w:unhideWhenUsed/>
    <w:rsid w:val="0026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5F"/>
  </w:style>
  <w:style w:type="paragraph" w:styleId="BalloonText">
    <w:name w:val="Balloon Text"/>
    <w:basedOn w:val="Normal"/>
    <w:link w:val="BalloonTextChar"/>
    <w:uiPriority w:val="99"/>
    <w:semiHidden/>
    <w:unhideWhenUsed/>
    <w:rsid w:val="0026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3BE1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382C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5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5C5"/>
    <w:pPr>
      <w:ind w:left="720"/>
      <w:contextualSpacing/>
    </w:pPr>
  </w:style>
  <w:style w:type="table" w:styleId="TableGrid">
    <w:name w:val="Table Grid"/>
    <w:basedOn w:val="TableNormal"/>
    <w:uiPriority w:val="59"/>
    <w:rsid w:val="0061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41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B23EF9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E7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BE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BE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9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BE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82C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5F"/>
  </w:style>
  <w:style w:type="paragraph" w:styleId="Footer">
    <w:name w:val="footer"/>
    <w:basedOn w:val="Normal"/>
    <w:link w:val="FooterChar"/>
    <w:uiPriority w:val="99"/>
    <w:unhideWhenUsed/>
    <w:rsid w:val="0026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5F"/>
  </w:style>
  <w:style w:type="paragraph" w:styleId="BalloonText">
    <w:name w:val="Balloon Text"/>
    <w:basedOn w:val="Normal"/>
    <w:link w:val="BalloonTextChar"/>
    <w:uiPriority w:val="99"/>
    <w:semiHidden/>
    <w:unhideWhenUsed/>
    <w:rsid w:val="0026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3BE1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382C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5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5C5"/>
    <w:pPr>
      <w:ind w:left="720"/>
      <w:contextualSpacing/>
    </w:pPr>
  </w:style>
  <w:style w:type="table" w:styleId="TableGrid">
    <w:name w:val="Table Grid"/>
    <w:basedOn w:val="TableNormal"/>
    <w:uiPriority w:val="59"/>
    <w:rsid w:val="0061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41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B23EF9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E7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BE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BE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rcprevention.eu" TargetMode="External"/><Relationship Id="rId20" Type="http://schemas.openxmlformats.org/officeDocument/2006/relationships/hyperlink" Target="http://www.onconet.cz" TargetMode="External"/><Relationship Id="rId21" Type="http://schemas.openxmlformats.org/officeDocument/2006/relationships/hyperlink" Target="http://www.linkos.cz" TargetMode="External"/><Relationship Id="rId22" Type="http://schemas.openxmlformats.org/officeDocument/2006/relationships/hyperlink" Target="http://www.svod.cz" TargetMode="External"/><Relationship Id="rId23" Type="http://schemas.openxmlformats.org/officeDocument/2006/relationships/hyperlink" Target="http://www.rektum.cz/res/file/edukacni-materialy/dusek-epidemiologie-prevence-a-lecba-crc-optim.pdf" TargetMode="External"/><Relationship Id="rId24" Type="http://schemas.openxmlformats.org/officeDocument/2006/relationships/hyperlink" Target="http://globocan.iarc.fr" TargetMode="External"/><Relationship Id="rId25" Type="http://schemas.openxmlformats.org/officeDocument/2006/relationships/hyperlink" Target="http://dx.doi.org/10.1787/health_glance_eur-2014-en" TargetMode="External"/><Relationship Id="rId26" Type="http://schemas.openxmlformats.org/officeDocument/2006/relationships/hyperlink" Target="http://www.oecd.org/els/health-systems/Cancer-Care-Czech-Republic-2013.pdf" TargetMode="External"/><Relationship Id="rId27" Type="http://schemas.openxmlformats.org/officeDocument/2006/relationships/header" Target="head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iba.muni.cz" TargetMode="External"/><Relationship Id="rId11" Type="http://schemas.openxmlformats.org/officeDocument/2006/relationships/hyperlink" Target="http://www.uzis.cz" TargetMode="External"/><Relationship Id="rId12" Type="http://schemas.openxmlformats.org/officeDocument/2006/relationships/hyperlink" Target="http://www.kolorektum.cz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hyperlink" Target="http://www.kolorektum.cz" TargetMode="External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hyperlink" Target="http://www.kolorektum.cz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BA5C-3704-7545-BC2C-9DF78A6F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3089</Words>
  <Characters>17611</Characters>
  <Application>Microsoft Macintosh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Lenka Šnajdrová</cp:lastModifiedBy>
  <cp:revision>2</cp:revision>
  <dcterms:created xsi:type="dcterms:W3CDTF">2015-05-27T07:29:00Z</dcterms:created>
  <dcterms:modified xsi:type="dcterms:W3CDTF">2015-05-27T07:29:00Z</dcterms:modified>
</cp:coreProperties>
</file>